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3E80942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496FFE">
        <w:rPr>
          <w:noProof w:val="0"/>
          <w:sz w:val="24"/>
          <w:szCs w:val="24"/>
        </w:rPr>
        <w:t>9bis</w:t>
      </w:r>
      <w:r w:rsidRPr="00B266B0">
        <w:rPr>
          <w:bCs/>
          <w:noProof w:val="0"/>
          <w:sz w:val="24"/>
          <w:szCs w:val="24"/>
        </w:rPr>
        <w:tab/>
      </w:r>
      <w:r w:rsidRPr="00C637FA">
        <w:rPr>
          <w:rFonts w:hint="eastAsia"/>
          <w:bCs/>
          <w:noProof w:val="0"/>
          <w:sz w:val="24"/>
          <w:szCs w:val="24"/>
        </w:rPr>
        <w:t>R</w:t>
      </w:r>
      <w:r w:rsidR="003454FC" w:rsidRPr="00C637FA">
        <w:rPr>
          <w:bCs/>
          <w:noProof w:val="0"/>
          <w:sz w:val="24"/>
          <w:szCs w:val="24"/>
        </w:rPr>
        <w:t>3</w:t>
      </w:r>
      <w:r w:rsidRPr="00C637FA">
        <w:rPr>
          <w:rFonts w:hint="eastAsia"/>
          <w:bCs/>
          <w:noProof w:val="0"/>
          <w:sz w:val="24"/>
          <w:szCs w:val="24"/>
        </w:rPr>
        <w:t>-</w:t>
      </w:r>
      <w:r w:rsidR="00797D4B" w:rsidRPr="00C637FA">
        <w:rPr>
          <w:bCs/>
          <w:noProof w:val="0"/>
          <w:sz w:val="24"/>
          <w:szCs w:val="24"/>
        </w:rPr>
        <w:t>2</w:t>
      </w:r>
      <w:r w:rsidR="00496FFE" w:rsidRPr="00C637FA">
        <w:rPr>
          <w:bCs/>
          <w:noProof w:val="0"/>
          <w:sz w:val="24"/>
          <w:szCs w:val="24"/>
        </w:rPr>
        <w:t>5</w:t>
      </w:r>
      <w:r w:rsidR="00C637FA" w:rsidRPr="00C637FA">
        <w:rPr>
          <w:bCs/>
          <w:noProof w:val="0"/>
          <w:sz w:val="24"/>
          <w:szCs w:val="24"/>
        </w:rPr>
        <w:t>6545</w:t>
      </w:r>
    </w:p>
    <w:p w14:paraId="0289EF4A" w14:textId="77777777" w:rsidR="008D323C" w:rsidRPr="00B1063A" w:rsidRDefault="008D323C" w:rsidP="008D323C">
      <w:pPr>
        <w:pStyle w:val="Header"/>
        <w:tabs>
          <w:tab w:val="right" w:pos="9639"/>
        </w:tabs>
        <w:rPr>
          <w:bCs/>
          <w:noProof w:val="0"/>
          <w:sz w:val="24"/>
          <w:szCs w:val="24"/>
          <w:lang w:val="en-US"/>
        </w:rPr>
      </w:pPr>
      <w:r>
        <w:rPr>
          <w:sz w:val="24"/>
        </w:rPr>
        <w:t>Prague</w:t>
      </w:r>
      <w:r w:rsidRPr="00D731CF">
        <w:rPr>
          <w:sz w:val="24"/>
        </w:rPr>
        <w:t xml:space="preserve">, </w:t>
      </w:r>
      <w:r>
        <w:rPr>
          <w:bCs/>
          <w:sz w:val="24"/>
          <w:szCs w:val="24"/>
          <w:lang w:eastAsia="zh-CN"/>
        </w:rPr>
        <w:t>Czech Republic</w:t>
      </w:r>
      <w:r w:rsidRPr="00D731CF">
        <w:rPr>
          <w:sz w:val="24"/>
        </w:rPr>
        <w:t xml:space="preserve">, </w:t>
      </w:r>
      <w:r>
        <w:rPr>
          <w:sz w:val="24"/>
        </w:rPr>
        <w:t>13</w:t>
      </w:r>
      <w:r w:rsidRPr="004179B4">
        <w:rPr>
          <w:sz w:val="24"/>
          <w:vertAlign w:val="superscript"/>
        </w:rPr>
        <w:t>th</w:t>
      </w:r>
      <w:r>
        <w:rPr>
          <w:sz w:val="24"/>
        </w:rPr>
        <w:t xml:space="preserve"> – 17</w:t>
      </w:r>
      <w:r>
        <w:rPr>
          <w:sz w:val="24"/>
          <w:vertAlign w:val="superscript"/>
        </w:rPr>
        <w:t>th</w:t>
      </w:r>
      <w:r>
        <w:rPr>
          <w:sz w:val="24"/>
        </w:rPr>
        <w:t xml:space="preserve"> October, </w:t>
      </w:r>
      <w:r w:rsidRPr="00D731CF">
        <w:rPr>
          <w:sz w:val="24"/>
        </w:rPr>
        <w:t>202</w:t>
      </w:r>
      <w:r>
        <w:rPr>
          <w:sz w:val="24"/>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5D406D58" w14:textId="5282DF87" w:rsidR="00691AEC" w:rsidRPr="009571AE" w:rsidRDefault="00691AEC" w:rsidP="009571AE">
      <w:pPr>
        <w:tabs>
          <w:tab w:val="left" w:pos="1985"/>
        </w:tabs>
        <w:ind w:left="1980" w:hanging="1980"/>
        <w:rPr>
          <w:rFonts w:ascii="Arial" w:eastAsia="SimSun" w:hAnsi="Arial"/>
          <w:b/>
          <w:sz w:val="24"/>
        </w:rPr>
      </w:pPr>
      <w:r w:rsidRPr="009571AE">
        <w:rPr>
          <w:rFonts w:ascii="Arial" w:eastAsia="SimSun" w:hAnsi="Arial"/>
          <w:b/>
          <w:sz w:val="24"/>
        </w:rPr>
        <w:t>Title:</w:t>
      </w:r>
      <w:r w:rsidRPr="009571AE">
        <w:rPr>
          <w:rFonts w:ascii="Arial" w:eastAsia="SimSun" w:hAnsi="Arial"/>
          <w:b/>
          <w:sz w:val="24"/>
        </w:rPr>
        <w:tab/>
      </w:r>
      <w:r w:rsidRPr="009E6E31">
        <w:rPr>
          <w:rFonts w:ascii="Arial" w:eastAsia="SimSun" w:hAnsi="Arial"/>
          <w:bCs/>
          <w:sz w:val="24"/>
        </w:rPr>
        <w:t xml:space="preserve">Discussion </w:t>
      </w:r>
      <w:r w:rsidR="004219BE" w:rsidRPr="009E6E31">
        <w:rPr>
          <w:rFonts w:ascii="Arial" w:eastAsia="SimSun" w:hAnsi="Arial"/>
          <w:bCs/>
          <w:sz w:val="24"/>
        </w:rPr>
        <w:t xml:space="preserve">on possible RAN </w:t>
      </w:r>
      <w:r w:rsidR="004D3521" w:rsidRPr="009E6E31">
        <w:rPr>
          <w:rFonts w:ascii="Arial" w:eastAsia="SimSun" w:hAnsi="Arial"/>
          <w:bCs/>
          <w:sz w:val="24"/>
        </w:rPr>
        <w:t xml:space="preserve">internal </w:t>
      </w:r>
      <w:r w:rsidR="004219BE" w:rsidRPr="009E6E31">
        <w:rPr>
          <w:rFonts w:ascii="Arial" w:eastAsia="SimSun" w:hAnsi="Arial"/>
          <w:bCs/>
          <w:sz w:val="24"/>
        </w:rPr>
        <w:t>architecture evolution towards S</w:t>
      </w:r>
      <w:r w:rsidR="00D92AE0" w:rsidRPr="009E6E31">
        <w:rPr>
          <w:rFonts w:ascii="Arial" w:eastAsia="SimSun" w:hAnsi="Arial"/>
          <w:bCs/>
          <w:sz w:val="24"/>
        </w:rPr>
        <w:t xml:space="preserve">ervice </w:t>
      </w:r>
      <w:r w:rsidR="004219BE" w:rsidRPr="009E6E31">
        <w:rPr>
          <w:rFonts w:ascii="Arial" w:eastAsia="SimSun" w:hAnsi="Arial"/>
          <w:bCs/>
          <w:sz w:val="24"/>
        </w:rPr>
        <w:t>B</w:t>
      </w:r>
      <w:r w:rsidR="00D92AE0" w:rsidRPr="009E6E31">
        <w:rPr>
          <w:rFonts w:ascii="Arial" w:eastAsia="SimSun" w:hAnsi="Arial"/>
          <w:bCs/>
          <w:sz w:val="24"/>
        </w:rPr>
        <w:t xml:space="preserve">ased </w:t>
      </w:r>
      <w:r w:rsidR="004219BE" w:rsidRPr="009E6E31">
        <w:rPr>
          <w:rFonts w:ascii="Arial" w:eastAsia="SimSun" w:hAnsi="Arial"/>
          <w:bCs/>
          <w:sz w:val="24"/>
        </w:rPr>
        <w:t>A</w:t>
      </w:r>
      <w:r w:rsidR="00D92AE0" w:rsidRPr="009E6E31">
        <w:rPr>
          <w:rFonts w:ascii="Arial" w:eastAsia="SimSun" w:hAnsi="Arial"/>
          <w:bCs/>
          <w:sz w:val="24"/>
        </w:rPr>
        <w:t>rchitecture</w:t>
      </w:r>
    </w:p>
    <w:p w14:paraId="11963950" w14:textId="77777777" w:rsidR="00237174" w:rsidRPr="009571AE" w:rsidRDefault="00237174" w:rsidP="00237174">
      <w:pPr>
        <w:tabs>
          <w:tab w:val="left" w:pos="1985"/>
        </w:tabs>
        <w:ind w:left="1980" w:hanging="1980"/>
        <w:rPr>
          <w:rFonts w:ascii="Arial" w:eastAsia="SimSun" w:hAnsi="Arial"/>
          <w:b/>
          <w:sz w:val="24"/>
        </w:rPr>
      </w:pPr>
      <w:r w:rsidRPr="009571AE">
        <w:rPr>
          <w:rFonts w:ascii="Arial" w:eastAsia="SimSun" w:hAnsi="Arial"/>
          <w:b/>
          <w:sz w:val="24"/>
        </w:rPr>
        <w:t>Source:</w:t>
      </w:r>
      <w:r w:rsidRPr="009571AE">
        <w:rPr>
          <w:rFonts w:ascii="Arial" w:eastAsia="SimSun" w:hAnsi="Arial"/>
          <w:b/>
          <w:sz w:val="24"/>
        </w:rPr>
        <w:tab/>
      </w:r>
      <w:r w:rsidRPr="009E6E31">
        <w:rPr>
          <w:rFonts w:ascii="Arial" w:eastAsia="SimSun" w:hAnsi="Arial"/>
          <w:bCs/>
          <w:sz w:val="24"/>
        </w:rPr>
        <w:t>FiberCop, Jio Platforms, KT Corp., Qualcomm Inc., Telstra</w:t>
      </w:r>
    </w:p>
    <w:p w14:paraId="3B0EF5F6" w14:textId="4BB7C1DB" w:rsidR="00CD4C7B" w:rsidRPr="009571AE" w:rsidRDefault="00CD4C7B" w:rsidP="009571AE">
      <w:pPr>
        <w:tabs>
          <w:tab w:val="left" w:pos="1985"/>
        </w:tabs>
        <w:ind w:left="1980" w:hanging="1980"/>
        <w:rPr>
          <w:rFonts w:ascii="Arial" w:eastAsia="SimSun" w:hAnsi="Arial"/>
          <w:b/>
          <w:sz w:val="24"/>
        </w:rPr>
      </w:pPr>
      <w:r w:rsidRPr="009571AE">
        <w:rPr>
          <w:rFonts w:ascii="Arial" w:eastAsia="SimSun" w:hAnsi="Arial"/>
          <w:b/>
          <w:sz w:val="24"/>
        </w:rPr>
        <w:t>Agenda item:</w:t>
      </w:r>
      <w:r w:rsidRPr="009571AE">
        <w:rPr>
          <w:rFonts w:ascii="Arial" w:eastAsia="SimSun" w:hAnsi="Arial"/>
          <w:b/>
          <w:sz w:val="24"/>
        </w:rPr>
        <w:tab/>
      </w:r>
      <w:r w:rsidR="00AC649B" w:rsidRPr="009E6E31">
        <w:rPr>
          <w:rFonts w:ascii="Arial" w:eastAsia="SimSun" w:hAnsi="Arial"/>
          <w:bCs/>
          <w:sz w:val="24"/>
        </w:rPr>
        <w:t>10.2.2</w:t>
      </w:r>
    </w:p>
    <w:p w14:paraId="6911FBAD" w14:textId="45DC93C3" w:rsidR="00CD4C7B" w:rsidRPr="009571AE" w:rsidRDefault="00CD4C7B" w:rsidP="009571AE">
      <w:pPr>
        <w:tabs>
          <w:tab w:val="left" w:pos="1985"/>
        </w:tabs>
        <w:ind w:left="1980" w:hanging="1980"/>
        <w:rPr>
          <w:rFonts w:ascii="Arial" w:eastAsia="SimSun" w:hAnsi="Arial"/>
          <w:b/>
          <w:sz w:val="24"/>
        </w:rPr>
      </w:pPr>
      <w:r w:rsidRPr="009571AE">
        <w:rPr>
          <w:rFonts w:ascii="Arial" w:eastAsia="SimSun" w:hAnsi="Arial"/>
          <w:b/>
          <w:sz w:val="24"/>
        </w:rPr>
        <w:t xml:space="preserve">Document </w:t>
      </w:r>
      <w:r w:rsidR="009571AE">
        <w:rPr>
          <w:rFonts w:ascii="Arial" w:eastAsia="SimSun" w:hAnsi="Arial"/>
          <w:b/>
          <w:sz w:val="24"/>
        </w:rPr>
        <w:t>Type</w:t>
      </w:r>
      <w:r w:rsidRPr="009571AE">
        <w:rPr>
          <w:rFonts w:ascii="Arial" w:eastAsia="SimSun" w:hAnsi="Arial"/>
          <w:b/>
          <w:sz w:val="24"/>
        </w:rPr>
        <w:t>:</w:t>
      </w:r>
      <w:r w:rsidRPr="009571AE">
        <w:rPr>
          <w:rFonts w:ascii="Arial" w:eastAsia="SimSun" w:hAnsi="Arial"/>
          <w:b/>
          <w:sz w:val="24"/>
        </w:rPr>
        <w:tab/>
      </w:r>
      <w:r w:rsidRPr="009E6E31">
        <w:rPr>
          <w:rFonts w:ascii="Arial" w:eastAsia="SimSun" w:hAnsi="Arial"/>
          <w:bCs/>
          <w:sz w:val="24"/>
        </w:rPr>
        <w:t>Discussion and Decision</w:t>
      </w:r>
    </w:p>
    <w:p w14:paraId="71F11288" w14:textId="59D06733" w:rsidR="00CD4C7B" w:rsidRPr="004219BE" w:rsidRDefault="00CD4C7B" w:rsidP="00CD4C7B">
      <w:pPr>
        <w:pStyle w:val="Heading1"/>
        <w:rPr>
          <w:lang w:val="en-US"/>
        </w:rPr>
      </w:pPr>
      <w:r w:rsidRPr="004219BE">
        <w:rPr>
          <w:lang w:val="en-US"/>
        </w:rPr>
        <w:t>1</w:t>
      </w:r>
      <w:r w:rsidRPr="004219BE">
        <w:rPr>
          <w:lang w:val="en-US"/>
        </w:rPr>
        <w:tab/>
      </w:r>
      <w:r w:rsidR="0056573F" w:rsidRPr="004219BE">
        <w:rPr>
          <w:lang w:val="en-US"/>
        </w:rPr>
        <w:t>Introduction</w:t>
      </w:r>
    </w:p>
    <w:p w14:paraId="43270EDF" w14:textId="11E3FE15" w:rsidR="004A51E8" w:rsidRPr="009C4547" w:rsidRDefault="004A51E8" w:rsidP="009C4547">
      <w:pPr>
        <w:pStyle w:val="00BodyText"/>
        <w:tabs>
          <w:tab w:val="left" w:pos="9072"/>
        </w:tabs>
        <w:spacing w:after="120"/>
        <w:jc w:val="both"/>
        <w:rPr>
          <w:rFonts w:ascii="Times New Roman" w:hAnsi="Times New Roman"/>
          <w:sz w:val="20"/>
          <w:lang w:val="en-GB"/>
        </w:rPr>
      </w:pPr>
      <w:r w:rsidRPr="009C4547">
        <w:rPr>
          <w:rFonts w:ascii="Times New Roman" w:hAnsi="Times New Roman"/>
          <w:sz w:val="20"/>
          <w:lang w:val="en-GB"/>
        </w:rPr>
        <w:t>The Service-Based Architecture (SBA) model, which has already demonstrated its effectiveness in the 5G Core Network</w:t>
      </w:r>
      <w:r w:rsidR="002D4495">
        <w:rPr>
          <w:rFonts w:ascii="Times New Roman" w:hAnsi="Times New Roman"/>
          <w:sz w:val="20"/>
          <w:lang w:val="en-GB"/>
        </w:rPr>
        <w:t xml:space="preserve"> (5GC)</w:t>
      </w:r>
      <w:r w:rsidRPr="009C4547">
        <w:rPr>
          <w:rFonts w:ascii="Times New Roman" w:hAnsi="Times New Roman"/>
          <w:sz w:val="20"/>
          <w:lang w:val="en-GB"/>
        </w:rPr>
        <w:t xml:space="preserve"> and in OAM domains since Rel-15, is widely recognized for enabling modularity, improved service flexibility, and streamlined integration processes. In contrast, the current architecture of the RAN remains anchored to a Protocol-Based approach, characterized by tightly coupled interfaces and limited architectural agility.</w:t>
      </w:r>
    </w:p>
    <w:p w14:paraId="59DD9153" w14:textId="2CFBD86F" w:rsidR="004A51E8" w:rsidRPr="009C4547" w:rsidRDefault="0021115A" w:rsidP="009C4547">
      <w:pPr>
        <w:pStyle w:val="00BodyText"/>
        <w:tabs>
          <w:tab w:val="left" w:pos="9072"/>
        </w:tabs>
        <w:spacing w:after="120"/>
        <w:jc w:val="both"/>
        <w:rPr>
          <w:rFonts w:ascii="Times New Roman" w:hAnsi="Times New Roman"/>
          <w:sz w:val="20"/>
          <w:lang w:val="en-GB"/>
        </w:rPr>
      </w:pPr>
      <w:r w:rsidRPr="009C4547">
        <w:rPr>
          <w:rFonts w:ascii="Times New Roman" w:hAnsi="Times New Roman"/>
          <w:sz w:val="20"/>
          <w:lang w:val="en-GB"/>
        </w:rPr>
        <w:t xml:space="preserve">In </w:t>
      </w:r>
      <w:r w:rsidR="00197C35" w:rsidRPr="009C4547">
        <w:rPr>
          <w:rFonts w:ascii="Times New Roman" w:hAnsi="Times New Roman"/>
          <w:sz w:val="20"/>
          <w:lang w:val="en-GB"/>
        </w:rPr>
        <w:t>contribution [1],</w:t>
      </w:r>
      <w:r w:rsidR="004A51E8" w:rsidRPr="009C4547">
        <w:rPr>
          <w:rFonts w:ascii="Times New Roman" w:hAnsi="Times New Roman"/>
          <w:sz w:val="20"/>
          <w:lang w:val="en-GB"/>
        </w:rPr>
        <w:t xml:space="preserve"> the rationale for investigating the adoption of SBA principles in the RAN domain</w:t>
      </w:r>
      <w:r w:rsidRPr="009C4547">
        <w:rPr>
          <w:rFonts w:ascii="Times New Roman" w:hAnsi="Times New Roman"/>
          <w:sz w:val="20"/>
          <w:lang w:val="en-GB"/>
        </w:rPr>
        <w:t xml:space="preserve"> has been introduced</w:t>
      </w:r>
      <w:r w:rsidR="004A51E8" w:rsidRPr="009C4547">
        <w:rPr>
          <w:rFonts w:ascii="Times New Roman" w:hAnsi="Times New Roman"/>
          <w:sz w:val="20"/>
          <w:lang w:val="en-GB"/>
        </w:rPr>
        <w:t xml:space="preserve">, outlining potential advantages, key constraints, and preliminary requirements. That analysis also highlighted the </w:t>
      </w:r>
      <w:r w:rsidR="00694982" w:rsidRPr="009C4547">
        <w:rPr>
          <w:rFonts w:ascii="Times New Roman" w:hAnsi="Times New Roman"/>
          <w:sz w:val="20"/>
          <w:lang w:val="en-GB"/>
        </w:rPr>
        <w:t>need</w:t>
      </w:r>
      <w:r w:rsidR="004A51E8" w:rsidRPr="009C4547">
        <w:rPr>
          <w:rFonts w:ascii="Times New Roman" w:hAnsi="Times New Roman"/>
          <w:sz w:val="20"/>
          <w:lang w:val="en-GB"/>
        </w:rPr>
        <w:t xml:space="preserve"> of identifying which parts of the RAN could realistically benefit from a service-oriented design, taking into account </w:t>
      </w:r>
      <w:r w:rsidR="003E05FF" w:rsidRPr="009C4547">
        <w:rPr>
          <w:rFonts w:ascii="Times New Roman" w:hAnsi="Times New Roman"/>
          <w:sz w:val="20"/>
          <w:lang w:val="en-GB"/>
        </w:rPr>
        <w:t xml:space="preserve">some constraints like </w:t>
      </w:r>
      <w:r w:rsidR="004A51E8" w:rsidRPr="009C4547">
        <w:rPr>
          <w:rFonts w:ascii="Times New Roman" w:hAnsi="Times New Roman"/>
          <w:sz w:val="20"/>
          <w:lang w:val="en-GB"/>
        </w:rPr>
        <w:t>strict latency and performance demands.</w:t>
      </w:r>
    </w:p>
    <w:p w14:paraId="06675E02" w14:textId="3BF88EAE" w:rsidR="004A51E8" w:rsidRPr="009C4547" w:rsidRDefault="004A51E8" w:rsidP="009C4547">
      <w:pPr>
        <w:pStyle w:val="00BodyText"/>
        <w:tabs>
          <w:tab w:val="left" w:pos="9072"/>
        </w:tabs>
        <w:spacing w:after="120"/>
        <w:jc w:val="both"/>
        <w:rPr>
          <w:rFonts w:ascii="Times New Roman" w:hAnsi="Times New Roman"/>
          <w:sz w:val="20"/>
          <w:lang w:val="en-GB"/>
        </w:rPr>
      </w:pPr>
      <w:r w:rsidRPr="009C4547">
        <w:rPr>
          <w:rFonts w:ascii="Times New Roman" w:hAnsi="Times New Roman"/>
          <w:sz w:val="20"/>
          <w:lang w:val="en-GB"/>
        </w:rPr>
        <w:t xml:space="preserve">This contribution builds on those foundations and focuses on exploring possible architectural directions to introduce SBA within the RAN. It aims to outline </w:t>
      </w:r>
      <w:r w:rsidR="000A55F1" w:rsidRPr="009C4547">
        <w:rPr>
          <w:rFonts w:ascii="Times New Roman" w:hAnsi="Times New Roman"/>
          <w:sz w:val="20"/>
          <w:lang w:val="en-GB"/>
        </w:rPr>
        <w:t>some alternatives in</w:t>
      </w:r>
      <w:r w:rsidRPr="009C4547">
        <w:rPr>
          <w:rFonts w:ascii="Times New Roman" w:hAnsi="Times New Roman"/>
          <w:sz w:val="20"/>
          <w:lang w:val="en-GB"/>
        </w:rPr>
        <w:t xml:space="preserve"> implementation scenarios, </w:t>
      </w:r>
      <w:r w:rsidR="000A55F1" w:rsidRPr="009C4547">
        <w:rPr>
          <w:rFonts w:ascii="Times New Roman" w:hAnsi="Times New Roman"/>
          <w:sz w:val="20"/>
          <w:lang w:val="en-GB"/>
        </w:rPr>
        <w:t>starting from current Network Functions (NFs) within the RAN</w:t>
      </w:r>
      <w:r w:rsidR="009F6101" w:rsidRPr="009C4547">
        <w:rPr>
          <w:rFonts w:ascii="Times New Roman" w:hAnsi="Times New Roman"/>
          <w:sz w:val="20"/>
          <w:lang w:val="en-GB"/>
        </w:rPr>
        <w:t>.</w:t>
      </w:r>
    </w:p>
    <w:p w14:paraId="02E276DF" w14:textId="7F1AE837" w:rsidR="00A07832" w:rsidRPr="009C4547" w:rsidRDefault="00197C35" w:rsidP="009C4547">
      <w:pPr>
        <w:pStyle w:val="00BodyText"/>
        <w:tabs>
          <w:tab w:val="left" w:pos="9072"/>
        </w:tabs>
        <w:spacing w:after="120"/>
        <w:jc w:val="both"/>
        <w:rPr>
          <w:rFonts w:ascii="Times New Roman" w:hAnsi="Times New Roman"/>
          <w:sz w:val="20"/>
          <w:lang w:val="en-GB"/>
        </w:rPr>
      </w:pPr>
      <w:r w:rsidRPr="009C4547">
        <w:rPr>
          <w:rFonts w:ascii="Times New Roman" w:hAnsi="Times New Roman"/>
          <w:sz w:val="20"/>
          <w:lang w:val="en-GB"/>
        </w:rPr>
        <w:t>T</w:t>
      </w:r>
      <w:r w:rsidR="001F429A" w:rsidRPr="009C4547">
        <w:rPr>
          <w:rFonts w:ascii="Times New Roman" w:hAnsi="Times New Roman"/>
          <w:sz w:val="20"/>
          <w:lang w:val="en-GB"/>
        </w:rPr>
        <w:t xml:space="preserve">his contribution is grounded on ongoing activities within the </w:t>
      </w:r>
      <w:r w:rsidR="0076253A" w:rsidRPr="009C4547">
        <w:rPr>
          <w:rFonts w:ascii="Times New Roman" w:hAnsi="Times New Roman"/>
          <w:sz w:val="20"/>
          <w:lang w:val="en-GB"/>
        </w:rPr>
        <w:t xml:space="preserve">research </w:t>
      </w:r>
      <w:r w:rsidR="003A2AFC" w:rsidRPr="009C4547">
        <w:rPr>
          <w:rFonts w:ascii="Times New Roman" w:hAnsi="Times New Roman"/>
          <w:sz w:val="20"/>
          <w:lang w:val="en-GB"/>
        </w:rPr>
        <w:t xml:space="preserve">project </w:t>
      </w:r>
      <w:r w:rsidR="004564BA" w:rsidRPr="009C4547">
        <w:rPr>
          <w:rFonts w:ascii="Times New Roman" w:hAnsi="Times New Roman"/>
          <w:sz w:val="20"/>
          <w:lang w:val="en-GB"/>
        </w:rPr>
        <w:t>ORIGAMI</w:t>
      </w:r>
      <w:r w:rsidR="00E60F43" w:rsidRPr="009C4547">
        <w:rPr>
          <w:rFonts w:ascii="Times New Roman" w:hAnsi="Times New Roman"/>
          <w:sz w:val="20"/>
          <w:lang w:val="en-GB"/>
        </w:rPr>
        <w:t xml:space="preserve"> [</w:t>
      </w:r>
      <w:r w:rsidRPr="009C4547">
        <w:rPr>
          <w:rFonts w:ascii="Times New Roman" w:hAnsi="Times New Roman"/>
          <w:sz w:val="20"/>
          <w:lang w:val="en-GB"/>
        </w:rPr>
        <w:t>2</w:t>
      </w:r>
      <w:r w:rsidR="00E60F43" w:rsidRPr="009C4547">
        <w:rPr>
          <w:rFonts w:ascii="Times New Roman" w:hAnsi="Times New Roman"/>
          <w:sz w:val="20"/>
          <w:lang w:val="en-GB"/>
        </w:rPr>
        <w:t>]</w:t>
      </w:r>
      <w:r w:rsidR="003A2AFC" w:rsidRPr="009C4547">
        <w:rPr>
          <w:rFonts w:ascii="Times New Roman" w:hAnsi="Times New Roman"/>
          <w:sz w:val="20"/>
          <w:lang w:val="en-GB"/>
        </w:rPr>
        <w:t>.</w:t>
      </w:r>
      <w:r w:rsidR="00E60F43" w:rsidRPr="009C4547">
        <w:rPr>
          <w:rFonts w:ascii="Times New Roman" w:hAnsi="Times New Roman"/>
          <w:sz w:val="20"/>
          <w:lang w:val="en-GB"/>
        </w:rPr>
        <w:t xml:space="preserve"> </w:t>
      </w:r>
      <w:r w:rsidR="00A07832" w:rsidRPr="009C4547">
        <w:rPr>
          <w:rFonts w:ascii="Times New Roman" w:hAnsi="Times New Roman"/>
          <w:sz w:val="20"/>
          <w:lang w:val="en-GB"/>
        </w:rPr>
        <w:t xml:space="preserve">The </w:t>
      </w:r>
      <w:r w:rsidR="0076253A" w:rsidRPr="009C4547">
        <w:rPr>
          <w:rFonts w:ascii="Times New Roman" w:hAnsi="Times New Roman"/>
          <w:sz w:val="20"/>
          <w:lang w:val="en-GB"/>
        </w:rPr>
        <w:t xml:space="preserve">ORIGAMI </w:t>
      </w:r>
      <w:r w:rsidR="00A07832" w:rsidRPr="009C4547">
        <w:rPr>
          <w:rFonts w:ascii="Times New Roman" w:hAnsi="Times New Roman"/>
          <w:sz w:val="20"/>
          <w:lang w:val="en-GB"/>
        </w:rPr>
        <w:t xml:space="preserve">project </w:t>
      </w:r>
      <w:r w:rsidR="005B2DC9" w:rsidRPr="009C4547">
        <w:rPr>
          <w:rFonts w:ascii="Times New Roman" w:hAnsi="Times New Roman"/>
          <w:sz w:val="20"/>
          <w:lang w:val="en-GB"/>
        </w:rPr>
        <w:t>brings together</w:t>
      </w:r>
      <w:r w:rsidR="00A07832" w:rsidRPr="009C4547">
        <w:rPr>
          <w:rFonts w:ascii="Times New Roman" w:hAnsi="Times New Roman"/>
          <w:sz w:val="20"/>
          <w:lang w:val="en-GB"/>
        </w:rPr>
        <w:t xml:space="preserve"> leading industry and academic partners across the European mobile telecommunications ecosystem and is funded by the European Commission under the 6G Smart Networks and Services Joint Undertaking (SNS JU). Running from 202</w:t>
      </w:r>
      <w:r w:rsidR="00165E20">
        <w:rPr>
          <w:rFonts w:ascii="Times New Roman" w:hAnsi="Times New Roman"/>
          <w:sz w:val="20"/>
          <w:lang w:val="en-GB"/>
        </w:rPr>
        <w:t>4</w:t>
      </w:r>
      <w:r w:rsidR="00A07832" w:rsidRPr="009C4547">
        <w:rPr>
          <w:rFonts w:ascii="Times New Roman" w:hAnsi="Times New Roman"/>
          <w:sz w:val="20"/>
          <w:lang w:val="en-GB"/>
        </w:rPr>
        <w:t xml:space="preserve"> to 202</w:t>
      </w:r>
      <w:r w:rsidR="00165E20">
        <w:rPr>
          <w:rFonts w:ascii="Times New Roman" w:hAnsi="Times New Roman"/>
          <w:sz w:val="20"/>
          <w:lang w:val="en-GB"/>
        </w:rPr>
        <w:t>6</w:t>
      </w:r>
      <w:r w:rsidR="00A07832" w:rsidRPr="009C4547">
        <w:rPr>
          <w:rFonts w:ascii="Times New Roman" w:hAnsi="Times New Roman"/>
          <w:sz w:val="20"/>
          <w:lang w:val="en-GB"/>
        </w:rPr>
        <w:t xml:space="preserve">, ORIGAMI focuses on advancing architectural models for next-generation mobile networks and addressing key barriers to the deployment of successful 6G technologies. </w:t>
      </w:r>
      <w:r w:rsidR="008561B4" w:rsidRPr="009C4547">
        <w:rPr>
          <w:rFonts w:ascii="Times New Roman" w:hAnsi="Times New Roman"/>
          <w:sz w:val="20"/>
          <w:lang w:val="en-GB"/>
        </w:rPr>
        <w:t>Specifically, ORIGAMI aims to study 6G architectural innovations, like the Global Service-Based Architecture (GSBA), that enables solutions of Network Intelligence (NI) designed to enhance network performance, security, and flexibility.</w:t>
      </w:r>
      <w:r w:rsidR="00A07832" w:rsidRPr="009C4547">
        <w:rPr>
          <w:rFonts w:ascii="Times New Roman" w:hAnsi="Times New Roman"/>
          <w:sz w:val="20"/>
          <w:lang w:val="en-GB"/>
        </w:rPr>
        <w:t xml:space="preserve"> Beyond technological advances, ORIGAMI is committed to establishing global unified standards, supporting the green transition, improving affordability and accessibility, and fostering the development of groundbreaking applications</w:t>
      </w:r>
      <w:r w:rsidR="00FF7D6E" w:rsidRPr="009C4547">
        <w:rPr>
          <w:rFonts w:ascii="Times New Roman" w:hAnsi="Times New Roman"/>
          <w:sz w:val="20"/>
          <w:lang w:val="en-GB"/>
        </w:rPr>
        <w:t xml:space="preserve"> to create strong ecosystem</w:t>
      </w:r>
      <w:r w:rsidR="00A07832" w:rsidRPr="009C4547">
        <w:rPr>
          <w:rFonts w:ascii="Times New Roman" w:hAnsi="Times New Roman"/>
          <w:sz w:val="20"/>
          <w:lang w:val="en-GB"/>
        </w:rPr>
        <w:t xml:space="preserve"> and novel business models</w:t>
      </w:r>
      <w:r w:rsidR="00FF7D6E" w:rsidRPr="009C4547">
        <w:rPr>
          <w:rFonts w:ascii="Times New Roman" w:hAnsi="Times New Roman"/>
          <w:sz w:val="20"/>
          <w:lang w:val="en-GB"/>
        </w:rPr>
        <w:t xml:space="preserve"> for operators to generate new revenue opportunities and allows operator networks to evolve into future generation with advanced capabilities</w:t>
      </w:r>
      <w:r w:rsidR="00A07832" w:rsidRPr="009C4547">
        <w:rPr>
          <w:rFonts w:ascii="Times New Roman" w:hAnsi="Times New Roman"/>
          <w:sz w:val="20"/>
          <w:lang w:val="en-GB"/>
        </w:rPr>
        <w:t xml:space="preserve">. This holistic approach positions ORIGAMI at the forefront of shaping </w:t>
      </w:r>
      <w:r w:rsidR="00255B21" w:rsidRPr="009C4547">
        <w:rPr>
          <w:rFonts w:ascii="Times New Roman" w:hAnsi="Times New Roman"/>
          <w:sz w:val="20"/>
          <w:lang w:val="en-GB"/>
        </w:rPr>
        <w:t>SBA</w:t>
      </w:r>
      <w:r w:rsidR="00A07832" w:rsidRPr="009C4547">
        <w:rPr>
          <w:rFonts w:ascii="Times New Roman" w:hAnsi="Times New Roman"/>
          <w:sz w:val="20"/>
          <w:lang w:val="en-GB"/>
        </w:rPr>
        <w:t xml:space="preserve"> that will underpin future 6G networks</w:t>
      </w:r>
      <w:r w:rsidR="00A80506" w:rsidRPr="009C4547">
        <w:rPr>
          <w:rFonts w:ascii="Times New Roman" w:hAnsi="Times New Roman"/>
          <w:sz w:val="20"/>
          <w:lang w:val="en-GB"/>
        </w:rPr>
        <w:t xml:space="preserve">, </w:t>
      </w:r>
      <w:r w:rsidR="00804407" w:rsidRPr="009C4547">
        <w:rPr>
          <w:rFonts w:ascii="Times New Roman" w:hAnsi="Times New Roman"/>
          <w:sz w:val="20"/>
          <w:lang w:val="en-GB"/>
        </w:rPr>
        <w:t>as addressed in [</w:t>
      </w:r>
      <w:r w:rsidR="003F4FF8" w:rsidRPr="009C4547">
        <w:rPr>
          <w:rFonts w:ascii="Times New Roman" w:hAnsi="Times New Roman"/>
          <w:sz w:val="20"/>
          <w:lang w:val="en-GB"/>
        </w:rPr>
        <w:t>3</w:t>
      </w:r>
      <w:r w:rsidR="00804407" w:rsidRPr="009C4547">
        <w:rPr>
          <w:rFonts w:ascii="Times New Roman" w:hAnsi="Times New Roman"/>
          <w:sz w:val="20"/>
          <w:lang w:val="en-GB"/>
        </w:rPr>
        <w:t>]</w:t>
      </w:r>
      <w:r w:rsidR="00561046" w:rsidRPr="009C4547">
        <w:rPr>
          <w:rFonts w:ascii="Times New Roman" w:hAnsi="Times New Roman"/>
          <w:sz w:val="20"/>
          <w:lang w:val="en-GB"/>
        </w:rPr>
        <w:t>.</w:t>
      </w:r>
    </w:p>
    <w:p w14:paraId="40AFD012" w14:textId="1345D606" w:rsidR="00017BB2" w:rsidRDefault="00CD4C7B" w:rsidP="00017BB2">
      <w:pPr>
        <w:pStyle w:val="Heading1"/>
      </w:pPr>
      <w:r w:rsidRPr="006E13D1">
        <w:t>2</w:t>
      </w:r>
      <w:r w:rsidRPr="006E13D1">
        <w:tab/>
      </w:r>
      <w:r w:rsidR="00972FD7">
        <w:t>Discussion</w:t>
      </w:r>
    </w:p>
    <w:p w14:paraId="12B89F88" w14:textId="5C8E85BE" w:rsidR="00B44605" w:rsidRDefault="00DE458A" w:rsidP="003A47ED">
      <w:pPr>
        <w:pStyle w:val="Heading2"/>
        <w:numPr>
          <w:ilvl w:val="1"/>
          <w:numId w:val="1"/>
        </w:numPr>
        <w:tabs>
          <w:tab w:val="num" w:pos="1134"/>
        </w:tabs>
        <w:ind w:left="1440" w:hanging="1440"/>
      </w:pPr>
      <w:r>
        <w:t>Po</w:t>
      </w:r>
      <w:r w:rsidR="00FF7D6E">
        <w:t xml:space="preserve">tential </w:t>
      </w:r>
      <w:r w:rsidR="0011002A">
        <w:t xml:space="preserve">SBA </w:t>
      </w:r>
      <w:r>
        <w:t xml:space="preserve">Proposals </w:t>
      </w:r>
      <w:r w:rsidR="00730D6C">
        <w:t>for the RAN</w:t>
      </w:r>
      <w:r>
        <w:t xml:space="preserve"> </w:t>
      </w:r>
    </w:p>
    <w:p w14:paraId="6B99DA1F" w14:textId="4C1A67A4" w:rsidR="00AF328B" w:rsidRPr="009C4547" w:rsidRDefault="00C504EB" w:rsidP="009C4547">
      <w:pPr>
        <w:pStyle w:val="00BodyText"/>
        <w:tabs>
          <w:tab w:val="left" w:pos="9072"/>
        </w:tabs>
        <w:spacing w:after="120"/>
        <w:jc w:val="both"/>
        <w:rPr>
          <w:rFonts w:ascii="Times New Roman" w:hAnsi="Times New Roman"/>
          <w:sz w:val="20"/>
          <w:lang w:val="en-GB"/>
        </w:rPr>
      </w:pPr>
      <w:r w:rsidRPr="009C4547">
        <w:rPr>
          <w:rFonts w:ascii="Times New Roman" w:hAnsi="Times New Roman"/>
          <w:sz w:val="20"/>
          <w:lang w:val="en-GB"/>
        </w:rPr>
        <w:t>For t</w:t>
      </w:r>
      <w:r w:rsidR="000F69E7" w:rsidRPr="009C4547">
        <w:rPr>
          <w:rFonts w:ascii="Times New Roman" w:hAnsi="Times New Roman"/>
          <w:sz w:val="20"/>
          <w:lang w:val="en-GB"/>
        </w:rPr>
        <w:t xml:space="preserve">he introduction of </w:t>
      </w:r>
      <w:r w:rsidR="0048753B" w:rsidRPr="009C4547">
        <w:rPr>
          <w:rFonts w:ascii="Times New Roman" w:hAnsi="Times New Roman"/>
          <w:sz w:val="20"/>
          <w:lang w:val="en-GB"/>
        </w:rPr>
        <w:t xml:space="preserve">a </w:t>
      </w:r>
      <w:r w:rsidRPr="009C4547">
        <w:rPr>
          <w:rFonts w:ascii="Times New Roman" w:hAnsi="Times New Roman"/>
          <w:sz w:val="20"/>
          <w:lang w:val="en-GB"/>
        </w:rPr>
        <w:t>SBA approach in the RAN</w:t>
      </w:r>
      <w:r w:rsidR="0048753B" w:rsidRPr="009C4547">
        <w:rPr>
          <w:rFonts w:ascii="Times New Roman" w:hAnsi="Times New Roman"/>
          <w:sz w:val="20"/>
          <w:lang w:val="en-GB"/>
        </w:rPr>
        <w:t xml:space="preserve">, </w:t>
      </w:r>
      <w:r w:rsidR="00AF328B" w:rsidRPr="009C4547">
        <w:rPr>
          <w:rFonts w:ascii="Times New Roman" w:hAnsi="Times New Roman"/>
          <w:sz w:val="20"/>
          <w:lang w:val="en-GB"/>
        </w:rPr>
        <w:t>the current 5G System (5GS) architecture</w:t>
      </w:r>
      <w:r w:rsidR="0048753B" w:rsidRPr="009C4547">
        <w:rPr>
          <w:rFonts w:ascii="Times New Roman" w:hAnsi="Times New Roman"/>
          <w:sz w:val="20"/>
          <w:lang w:val="en-GB"/>
        </w:rPr>
        <w:t xml:space="preserve"> depicted in Figure 1 can be considered as a starting point,</w:t>
      </w:r>
      <w:r w:rsidR="00AF328B" w:rsidRPr="009C4547">
        <w:rPr>
          <w:rFonts w:ascii="Times New Roman" w:hAnsi="Times New Roman"/>
          <w:sz w:val="20"/>
          <w:lang w:val="en-GB"/>
        </w:rPr>
        <w:t xml:space="preserve"> </w:t>
      </w:r>
      <w:r w:rsidR="00E17D25" w:rsidRPr="009C4547">
        <w:rPr>
          <w:rFonts w:ascii="Times New Roman" w:hAnsi="Times New Roman"/>
          <w:sz w:val="20"/>
          <w:lang w:val="en-GB"/>
        </w:rPr>
        <w:t xml:space="preserve">where </w:t>
      </w:r>
      <w:r w:rsidR="00974236" w:rsidRPr="009C4547">
        <w:rPr>
          <w:rFonts w:ascii="Times New Roman" w:hAnsi="Times New Roman"/>
          <w:sz w:val="20"/>
          <w:lang w:val="en-GB"/>
        </w:rPr>
        <w:t xml:space="preserve">there is the evidence of </w:t>
      </w:r>
      <w:r w:rsidR="00AF328B" w:rsidRPr="009C4547">
        <w:rPr>
          <w:rFonts w:ascii="Times New Roman" w:hAnsi="Times New Roman"/>
          <w:sz w:val="20"/>
          <w:lang w:val="en-GB"/>
        </w:rPr>
        <w:t xml:space="preserve">the </w:t>
      </w:r>
      <w:r w:rsidR="00E17D25" w:rsidRPr="009C4547">
        <w:rPr>
          <w:rFonts w:ascii="Times New Roman" w:hAnsi="Times New Roman"/>
          <w:sz w:val="20"/>
          <w:lang w:val="en-GB"/>
        </w:rPr>
        <w:t>difference</w:t>
      </w:r>
      <w:r w:rsidR="00AF328B" w:rsidRPr="009C4547">
        <w:rPr>
          <w:rFonts w:ascii="Times New Roman" w:hAnsi="Times New Roman"/>
          <w:sz w:val="20"/>
          <w:lang w:val="en-GB"/>
        </w:rPr>
        <w:t xml:space="preserve"> between the service-based design of the 5GC and the protocol-based architecture of the </w:t>
      </w:r>
      <w:r w:rsidR="004F4154" w:rsidRPr="009C4547">
        <w:rPr>
          <w:rFonts w:ascii="Times New Roman" w:hAnsi="Times New Roman"/>
          <w:sz w:val="20"/>
          <w:lang w:val="en-GB"/>
        </w:rPr>
        <w:t>RAN.</w:t>
      </w:r>
    </w:p>
    <w:p w14:paraId="46BB224A" w14:textId="6849BF99" w:rsidR="00AF328B" w:rsidRPr="009C4547" w:rsidRDefault="00AF328B" w:rsidP="009C4547">
      <w:pPr>
        <w:pStyle w:val="00BodyText"/>
        <w:tabs>
          <w:tab w:val="left" w:pos="9072"/>
        </w:tabs>
        <w:spacing w:after="120"/>
        <w:jc w:val="both"/>
        <w:rPr>
          <w:rFonts w:ascii="Times New Roman" w:hAnsi="Times New Roman"/>
          <w:sz w:val="20"/>
          <w:lang w:val="en-GB"/>
        </w:rPr>
      </w:pPr>
      <w:r w:rsidRPr="009C4547">
        <w:rPr>
          <w:rFonts w:ascii="Times New Roman" w:hAnsi="Times New Roman"/>
          <w:sz w:val="20"/>
          <w:lang w:val="en-GB"/>
        </w:rPr>
        <w:t xml:space="preserve">While the 5GC </w:t>
      </w:r>
      <w:r w:rsidR="00596EF0" w:rsidRPr="009C4547">
        <w:rPr>
          <w:rFonts w:ascii="Times New Roman" w:hAnsi="Times New Roman"/>
          <w:sz w:val="20"/>
          <w:lang w:val="en-GB"/>
        </w:rPr>
        <w:t>already</w:t>
      </w:r>
      <w:r w:rsidRPr="009C4547">
        <w:rPr>
          <w:rFonts w:ascii="Times New Roman" w:hAnsi="Times New Roman"/>
          <w:sz w:val="20"/>
          <w:lang w:val="en-GB"/>
        </w:rPr>
        <w:t xml:space="preserve"> embrace</w:t>
      </w:r>
      <w:r w:rsidR="00596EF0" w:rsidRPr="009C4547">
        <w:rPr>
          <w:rFonts w:ascii="Times New Roman" w:hAnsi="Times New Roman"/>
          <w:sz w:val="20"/>
          <w:lang w:val="en-GB"/>
        </w:rPr>
        <w:t>s</w:t>
      </w:r>
      <w:r w:rsidRPr="009C4547">
        <w:rPr>
          <w:rFonts w:ascii="Times New Roman" w:hAnsi="Times New Roman"/>
          <w:sz w:val="20"/>
          <w:lang w:val="en-GB"/>
        </w:rPr>
        <w:t xml:space="preserve"> the SBA paradigm</w:t>
      </w:r>
      <w:r w:rsidR="00CC17CD" w:rsidRPr="009C4547">
        <w:rPr>
          <w:rFonts w:ascii="Times New Roman" w:hAnsi="Times New Roman"/>
          <w:sz w:val="20"/>
          <w:lang w:val="en-GB"/>
        </w:rPr>
        <w:t xml:space="preserve">, </w:t>
      </w:r>
      <w:r w:rsidRPr="009C4547">
        <w:rPr>
          <w:rFonts w:ascii="Times New Roman" w:hAnsi="Times New Roman"/>
          <w:sz w:val="20"/>
          <w:lang w:val="en-GB"/>
        </w:rPr>
        <w:t>enabling flexible service exposure, dynamic discovery of network functions, and modular integration</w:t>
      </w:r>
      <w:r w:rsidR="00803BF3" w:rsidRPr="009C4547">
        <w:rPr>
          <w:rFonts w:ascii="Times New Roman" w:hAnsi="Times New Roman"/>
          <w:sz w:val="20"/>
          <w:lang w:val="en-GB"/>
        </w:rPr>
        <w:t xml:space="preserve">, </w:t>
      </w:r>
      <w:r w:rsidRPr="009C4547">
        <w:rPr>
          <w:rFonts w:ascii="Times New Roman" w:hAnsi="Times New Roman"/>
          <w:sz w:val="20"/>
          <w:lang w:val="en-GB"/>
        </w:rPr>
        <w:t>the RAN still relies on tightly specified interfaces and procedural communication models between its NFs. This results in a less flexible and less scalable system design.</w:t>
      </w:r>
    </w:p>
    <w:p w14:paraId="114B7852" w14:textId="269C8C34" w:rsidR="00AF328B" w:rsidRPr="009C4547" w:rsidRDefault="00AF328B" w:rsidP="009C4547">
      <w:pPr>
        <w:pStyle w:val="00BodyText"/>
        <w:tabs>
          <w:tab w:val="left" w:pos="9072"/>
        </w:tabs>
        <w:spacing w:after="120"/>
        <w:jc w:val="both"/>
        <w:rPr>
          <w:rFonts w:ascii="Times New Roman" w:hAnsi="Times New Roman"/>
          <w:sz w:val="20"/>
          <w:lang w:val="en-GB"/>
        </w:rPr>
      </w:pPr>
      <w:r w:rsidRPr="009C4547">
        <w:rPr>
          <w:rFonts w:ascii="Times New Roman" w:hAnsi="Times New Roman"/>
          <w:sz w:val="20"/>
          <w:lang w:val="en-GB"/>
        </w:rPr>
        <w:t xml:space="preserve">Figure 1 illustrates the existing 5GS architectural model, with the </w:t>
      </w:r>
      <w:r w:rsidR="00A82739">
        <w:rPr>
          <w:rFonts w:ascii="Times New Roman" w:hAnsi="Times New Roman"/>
          <w:sz w:val="20"/>
          <w:lang w:val="en-GB"/>
        </w:rPr>
        <w:t>Core Network (</w:t>
      </w:r>
      <w:r w:rsidR="002043B8" w:rsidRPr="009C4547">
        <w:rPr>
          <w:rFonts w:ascii="Times New Roman" w:hAnsi="Times New Roman"/>
          <w:sz w:val="20"/>
          <w:lang w:val="en-GB"/>
        </w:rPr>
        <w:t>CN</w:t>
      </w:r>
      <w:r w:rsidR="00A82739">
        <w:rPr>
          <w:rFonts w:ascii="Times New Roman" w:hAnsi="Times New Roman"/>
          <w:sz w:val="20"/>
          <w:lang w:val="en-GB"/>
        </w:rPr>
        <w:t>)</w:t>
      </w:r>
      <w:r w:rsidRPr="009C4547">
        <w:rPr>
          <w:rFonts w:ascii="Times New Roman" w:hAnsi="Times New Roman"/>
          <w:sz w:val="20"/>
          <w:lang w:val="en-GB"/>
        </w:rPr>
        <w:t xml:space="preserve"> represented through a clear SBA approach. The RAN, shown in the red dashed ellipse, interfaces with the 5GC through standardized reference points (e.g., N2, N3), </w:t>
      </w:r>
      <w:r w:rsidR="00642AB2" w:rsidRPr="009C4547">
        <w:rPr>
          <w:rFonts w:ascii="Times New Roman" w:hAnsi="Times New Roman"/>
          <w:sz w:val="20"/>
          <w:lang w:val="en-GB"/>
        </w:rPr>
        <w:t>and</w:t>
      </w:r>
      <w:r w:rsidRPr="009C4547">
        <w:rPr>
          <w:rFonts w:ascii="Times New Roman" w:hAnsi="Times New Roman"/>
          <w:sz w:val="20"/>
          <w:lang w:val="en-GB"/>
        </w:rPr>
        <w:t xml:space="preserve"> internally does not yet adopt a service-based interaction model. This observation motivates the idea of applying the Service-Based </w:t>
      </w:r>
      <w:r w:rsidR="00B73B98" w:rsidRPr="009C4547">
        <w:rPr>
          <w:rFonts w:ascii="Times New Roman" w:hAnsi="Times New Roman"/>
          <w:sz w:val="20"/>
          <w:lang w:val="en-GB"/>
        </w:rPr>
        <w:t>p</w:t>
      </w:r>
      <w:r w:rsidRPr="009C4547">
        <w:rPr>
          <w:rFonts w:ascii="Times New Roman" w:hAnsi="Times New Roman"/>
          <w:sz w:val="20"/>
          <w:lang w:val="en-GB"/>
        </w:rPr>
        <w:t>aradigm also to the RAN, by rethinking both:</w:t>
      </w:r>
    </w:p>
    <w:p w14:paraId="7C0B0973" w14:textId="0E93F160" w:rsidR="00AF328B" w:rsidRPr="009C4547" w:rsidRDefault="00A6568C" w:rsidP="009C4547">
      <w:pPr>
        <w:pStyle w:val="00BodyText"/>
        <w:numPr>
          <w:ilvl w:val="0"/>
          <w:numId w:val="3"/>
        </w:numPr>
        <w:tabs>
          <w:tab w:val="left" w:pos="709"/>
        </w:tabs>
        <w:spacing w:before="120" w:after="0"/>
        <w:ind w:left="714" w:hanging="357"/>
        <w:jc w:val="both"/>
        <w:rPr>
          <w:rFonts w:ascii="Times New Roman" w:hAnsi="Times New Roman"/>
          <w:sz w:val="20"/>
          <w:lang w:val="en-GB"/>
        </w:rPr>
      </w:pPr>
      <w:r w:rsidRPr="009C4547">
        <w:rPr>
          <w:rFonts w:ascii="Times New Roman" w:hAnsi="Times New Roman"/>
          <w:sz w:val="20"/>
          <w:lang w:val="en-GB"/>
        </w:rPr>
        <w:lastRenderedPageBreak/>
        <w:t>t</w:t>
      </w:r>
      <w:r w:rsidR="00AF328B" w:rsidRPr="009C4547">
        <w:rPr>
          <w:rFonts w:ascii="Times New Roman" w:hAnsi="Times New Roman"/>
          <w:sz w:val="20"/>
          <w:lang w:val="en-GB"/>
        </w:rPr>
        <w:t xml:space="preserve">he external interfaces between RAN and </w:t>
      </w:r>
      <w:r w:rsidRPr="009C4547">
        <w:rPr>
          <w:rFonts w:ascii="Times New Roman" w:hAnsi="Times New Roman"/>
          <w:sz w:val="20"/>
          <w:lang w:val="en-GB"/>
        </w:rPr>
        <w:t>CN</w:t>
      </w:r>
      <w:r w:rsidR="00AF328B" w:rsidRPr="009C4547">
        <w:rPr>
          <w:rFonts w:ascii="Times New Roman" w:hAnsi="Times New Roman"/>
          <w:sz w:val="20"/>
          <w:lang w:val="en-GB"/>
        </w:rPr>
        <w:t>, ensuring alignment with SBA principles where applicable</w:t>
      </w:r>
    </w:p>
    <w:p w14:paraId="33758C8D" w14:textId="528F5CD7" w:rsidR="00AF328B" w:rsidRPr="009C4547" w:rsidRDefault="00A6568C" w:rsidP="009C4547">
      <w:pPr>
        <w:pStyle w:val="00BodyText"/>
        <w:numPr>
          <w:ilvl w:val="0"/>
          <w:numId w:val="3"/>
        </w:numPr>
        <w:tabs>
          <w:tab w:val="left" w:pos="709"/>
        </w:tabs>
        <w:spacing w:before="120" w:after="0"/>
        <w:ind w:left="714" w:hanging="357"/>
        <w:jc w:val="both"/>
        <w:rPr>
          <w:rFonts w:ascii="Times New Roman" w:hAnsi="Times New Roman"/>
          <w:sz w:val="20"/>
          <w:lang w:val="en-GB"/>
        </w:rPr>
      </w:pPr>
      <w:r w:rsidRPr="009C4547">
        <w:rPr>
          <w:rFonts w:ascii="Times New Roman" w:hAnsi="Times New Roman"/>
          <w:sz w:val="20"/>
          <w:lang w:val="en-GB"/>
        </w:rPr>
        <w:t>t</w:t>
      </w:r>
      <w:r w:rsidR="00AF328B" w:rsidRPr="009C4547">
        <w:rPr>
          <w:rFonts w:ascii="Times New Roman" w:hAnsi="Times New Roman"/>
          <w:sz w:val="20"/>
          <w:lang w:val="en-GB"/>
        </w:rPr>
        <w:t xml:space="preserve">he internal architecture of the RAN, with a focus on potential reorganization of functional blocks </w:t>
      </w:r>
      <w:r w:rsidR="004411B5" w:rsidRPr="009C4547">
        <w:rPr>
          <w:rFonts w:ascii="Times New Roman" w:hAnsi="Times New Roman"/>
          <w:sz w:val="20"/>
          <w:lang w:val="en-GB"/>
        </w:rPr>
        <w:t xml:space="preserve">and NFs </w:t>
      </w:r>
      <w:r w:rsidR="00723348" w:rsidRPr="009C4547">
        <w:rPr>
          <w:rFonts w:ascii="Times New Roman" w:hAnsi="Times New Roman"/>
          <w:sz w:val="20"/>
          <w:lang w:val="en-GB"/>
        </w:rPr>
        <w:t xml:space="preserve">into service-oriented structure </w:t>
      </w:r>
      <w:r w:rsidR="00577BA4" w:rsidRPr="009C4547">
        <w:rPr>
          <w:rFonts w:ascii="Times New Roman" w:hAnsi="Times New Roman"/>
          <w:sz w:val="20"/>
          <w:lang w:val="en-GB"/>
        </w:rPr>
        <w:t>based on</w:t>
      </w:r>
      <w:r w:rsidR="004411B5" w:rsidRPr="009C4547">
        <w:rPr>
          <w:rFonts w:ascii="Times New Roman" w:hAnsi="Times New Roman"/>
          <w:sz w:val="20"/>
          <w:lang w:val="en-GB"/>
        </w:rPr>
        <w:t xml:space="preserve"> services to be provided and consumed each other</w:t>
      </w:r>
    </w:p>
    <w:p w14:paraId="3F9DBC9D" w14:textId="77777777" w:rsidR="00AF328B" w:rsidRPr="00AF328B" w:rsidRDefault="00AF328B" w:rsidP="00AF328B">
      <w:pPr>
        <w:pStyle w:val="00BodyText"/>
        <w:tabs>
          <w:tab w:val="left" w:pos="9072"/>
        </w:tabs>
        <w:spacing w:after="0"/>
        <w:jc w:val="both"/>
        <w:rPr>
          <w:rFonts w:cs="Arial"/>
          <w:sz w:val="20"/>
          <w:lang w:val="en-GB"/>
        </w:rPr>
      </w:pPr>
    </w:p>
    <w:p w14:paraId="03FA4851" w14:textId="3C406FB1" w:rsidR="00AF328B" w:rsidRPr="00AF328B" w:rsidRDefault="00C721F7" w:rsidP="00E43643">
      <w:pPr>
        <w:pStyle w:val="00BodyText"/>
        <w:tabs>
          <w:tab w:val="left" w:pos="9072"/>
        </w:tabs>
        <w:spacing w:after="0"/>
        <w:jc w:val="center"/>
        <w:rPr>
          <w:rFonts w:cs="Arial"/>
          <w:sz w:val="20"/>
          <w:lang w:val="en-GB"/>
        </w:rPr>
      </w:pPr>
      <w:r>
        <w:rPr>
          <w:rFonts w:cs="Arial"/>
          <w:noProof/>
          <w:sz w:val="20"/>
          <w:lang w:val="en-GB"/>
        </w:rPr>
        <w:drawing>
          <wp:inline distT="0" distB="0" distL="0" distR="0" wp14:anchorId="190833EF" wp14:editId="150FCE96">
            <wp:extent cx="4503420" cy="271272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3420" cy="2712720"/>
                    </a:xfrm>
                    <a:prstGeom prst="rect">
                      <a:avLst/>
                    </a:prstGeom>
                    <a:noFill/>
                    <a:ln>
                      <a:noFill/>
                    </a:ln>
                  </pic:spPr>
                </pic:pic>
              </a:graphicData>
            </a:graphic>
          </wp:inline>
        </w:drawing>
      </w:r>
    </w:p>
    <w:p w14:paraId="06613509" w14:textId="77777777" w:rsidR="00AF328B" w:rsidRPr="00AF328B" w:rsidRDefault="00AF328B" w:rsidP="00AF328B">
      <w:pPr>
        <w:pStyle w:val="00BodyText"/>
        <w:tabs>
          <w:tab w:val="left" w:pos="9072"/>
        </w:tabs>
        <w:spacing w:after="0"/>
        <w:jc w:val="both"/>
        <w:rPr>
          <w:rFonts w:cs="Arial"/>
          <w:sz w:val="20"/>
          <w:lang w:val="en-GB"/>
        </w:rPr>
      </w:pPr>
    </w:p>
    <w:p w14:paraId="4AA32CC1" w14:textId="5A3C5756" w:rsidR="00CD0082" w:rsidRPr="009C4547" w:rsidRDefault="00AF328B" w:rsidP="009C4547">
      <w:pPr>
        <w:pStyle w:val="00BodyText"/>
        <w:tabs>
          <w:tab w:val="left" w:pos="9072"/>
        </w:tabs>
        <w:spacing w:after="0"/>
        <w:jc w:val="center"/>
        <w:rPr>
          <w:rFonts w:ascii="Times New Roman" w:hAnsi="Times New Roman"/>
          <w:bCs/>
        </w:rPr>
      </w:pPr>
      <w:r w:rsidRPr="009C4547">
        <w:rPr>
          <w:rFonts w:ascii="Times New Roman" w:hAnsi="Times New Roman"/>
          <w:sz w:val="20"/>
          <w:lang w:val="en-GB"/>
        </w:rPr>
        <w:t>Figure 1 – Starting point: current 5GS architecture and the proposed SBA extension to RAN</w:t>
      </w:r>
    </w:p>
    <w:p w14:paraId="297E1DA7" w14:textId="629D71B1" w:rsidR="00E556E7" w:rsidRDefault="00E556E7" w:rsidP="00E556E7">
      <w:pPr>
        <w:pStyle w:val="Proposal"/>
        <w:tabs>
          <w:tab w:val="clear" w:pos="1560"/>
          <w:tab w:val="left" w:pos="709"/>
        </w:tabs>
        <w:spacing w:before="120" w:after="120"/>
        <w:jc w:val="both"/>
        <w:rPr>
          <w:rFonts w:ascii="Arial" w:eastAsia="Times New Roman" w:hAnsi="Arial" w:cs="Arial"/>
          <w:b w:val="0"/>
          <w:i/>
          <w:iCs/>
        </w:rPr>
      </w:pPr>
    </w:p>
    <w:p w14:paraId="49EEDE5A" w14:textId="776CD9B7" w:rsidR="00BF1D10" w:rsidRPr="009C4547" w:rsidRDefault="00BF1D10" w:rsidP="009C4547">
      <w:pPr>
        <w:pStyle w:val="00BodyText"/>
        <w:tabs>
          <w:tab w:val="left" w:pos="9072"/>
        </w:tabs>
        <w:spacing w:after="120"/>
        <w:jc w:val="both"/>
        <w:rPr>
          <w:rFonts w:ascii="Times New Roman" w:hAnsi="Times New Roman"/>
          <w:sz w:val="20"/>
          <w:lang w:val="en-GB"/>
        </w:rPr>
      </w:pPr>
      <w:r w:rsidRPr="009C4547">
        <w:rPr>
          <w:rFonts w:ascii="Times New Roman" w:hAnsi="Times New Roman"/>
          <w:sz w:val="20"/>
          <w:lang w:val="en-GB"/>
        </w:rPr>
        <w:t>From a technical standpoint, applying the SBA paradigm to the RAN implies a fundamental shift in how RAN NFs interact, both internally and with external domains such as the 5GC. In particular, this evolution could involve:</w:t>
      </w:r>
    </w:p>
    <w:p w14:paraId="7CF5889A" w14:textId="5D79C304" w:rsidR="00C62547" w:rsidRPr="009C4547" w:rsidRDefault="000A6064" w:rsidP="009C4547">
      <w:pPr>
        <w:pStyle w:val="00BodyText"/>
        <w:numPr>
          <w:ilvl w:val="0"/>
          <w:numId w:val="3"/>
        </w:numPr>
        <w:tabs>
          <w:tab w:val="left" w:pos="709"/>
        </w:tabs>
        <w:spacing w:before="120" w:after="0"/>
        <w:ind w:left="714" w:hanging="357"/>
        <w:jc w:val="both"/>
        <w:rPr>
          <w:rFonts w:ascii="Times New Roman" w:hAnsi="Times New Roman"/>
          <w:sz w:val="20"/>
          <w:lang w:val="en-GB"/>
        </w:rPr>
      </w:pPr>
      <w:r w:rsidRPr="009C4547">
        <w:rPr>
          <w:rFonts w:ascii="Times New Roman" w:hAnsi="Times New Roman"/>
          <w:b/>
          <w:bCs/>
          <w:sz w:val="20"/>
          <w:lang w:val="en-GB"/>
        </w:rPr>
        <w:t xml:space="preserve">Service Identification from </w:t>
      </w:r>
      <w:r w:rsidR="00E42990" w:rsidRPr="009C4547">
        <w:rPr>
          <w:rFonts w:ascii="Times New Roman" w:hAnsi="Times New Roman"/>
          <w:b/>
          <w:bCs/>
          <w:sz w:val="20"/>
          <w:lang w:val="en-GB"/>
        </w:rPr>
        <w:t>Signalling</w:t>
      </w:r>
      <w:r w:rsidRPr="009C4547">
        <w:rPr>
          <w:rFonts w:ascii="Times New Roman" w:hAnsi="Times New Roman"/>
          <w:b/>
          <w:bCs/>
          <w:sz w:val="20"/>
          <w:lang w:val="en-GB"/>
        </w:rPr>
        <w:t xml:space="preserve"> Procedures</w:t>
      </w:r>
      <w:r w:rsidR="002D04C3" w:rsidRPr="009C4547">
        <w:rPr>
          <w:rFonts w:ascii="Times New Roman" w:hAnsi="Times New Roman"/>
          <w:sz w:val="20"/>
          <w:lang w:val="en-GB"/>
        </w:rPr>
        <w:t xml:space="preserve"> – T</w:t>
      </w:r>
      <w:r w:rsidRPr="009C4547">
        <w:rPr>
          <w:rFonts w:ascii="Times New Roman" w:hAnsi="Times New Roman"/>
          <w:sz w:val="20"/>
          <w:lang w:val="en-GB"/>
        </w:rPr>
        <w:t>he transition to</w:t>
      </w:r>
      <w:r w:rsidR="002D04C3" w:rsidRPr="009C4547">
        <w:rPr>
          <w:rFonts w:ascii="Times New Roman" w:hAnsi="Times New Roman"/>
          <w:sz w:val="20"/>
          <w:lang w:val="en-GB"/>
        </w:rPr>
        <w:t xml:space="preserve">wards SBA </w:t>
      </w:r>
      <w:r w:rsidRPr="009C4547">
        <w:rPr>
          <w:rFonts w:ascii="Times New Roman" w:hAnsi="Times New Roman"/>
          <w:sz w:val="20"/>
          <w:lang w:val="en-GB"/>
        </w:rPr>
        <w:t xml:space="preserve">requires an initial step of </w:t>
      </w:r>
      <w:r w:rsidR="00E42990" w:rsidRPr="009C4547">
        <w:rPr>
          <w:rFonts w:ascii="Times New Roman" w:hAnsi="Times New Roman"/>
          <w:sz w:val="20"/>
          <w:lang w:val="en-GB"/>
        </w:rPr>
        <w:t>analysing</w:t>
      </w:r>
      <w:r w:rsidRPr="009C4547">
        <w:rPr>
          <w:rFonts w:ascii="Times New Roman" w:hAnsi="Times New Roman"/>
          <w:sz w:val="20"/>
          <w:lang w:val="en-GB"/>
        </w:rPr>
        <w:t xml:space="preserve"> existing </w:t>
      </w:r>
      <w:r w:rsidR="00E42990" w:rsidRPr="009C4547">
        <w:rPr>
          <w:rFonts w:ascii="Times New Roman" w:hAnsi="Times New Roman"/>
          <w:sz w:val="20"/>
          <w:lang w:val="en-GB"/>
        </w:rPr>
        <w:t>signalling</w:t>
      </w:r>
      <w:r w:rsidRPr="009C4547">
        <w:rPr>
          <w:rFonts w:ascii="Times New Roman" w:hAnsi="Times New Roman"/>
          <w:sz w:val="20"/>
          <w:lang w:val="en-GB"/>
        </w:rPr>
        <w:t xml:space="preserve"> procedures to identify the underlying functionalities they implement. These functionalities can then be mapped into discrete services, allowing a clear definition of which RAN modules act as service producers or consumers. This decomposition is essential for modularizing RAN </w:t>
      </w:r>
      <w:r w:rsidR="00E42990" w:rsidRPr="009C4547">
        <w:rPr>
          <w:rFonts w:ascii="Times New Roman" w:hAnsi="Times New Roman"/>
          <w:sz w:val="20"/>
          <w:lang w:val="en-GB"/>
        </w:rPr>
        <w:t>behaviour</w:t>
      </w:r>
      <w:r w:rsidRPr="009C4547">
        <w:rPr>
          <w:rFonts w:ascii="Times New Roman" w:hAnsi="Times New Roman"/>
          <w:sz w:val="20"/>
          <w:lang w:val="en-GB"/>
        </w:rPr>
        <w:t xml:space="preserve"> and enabling service exposure, invocation, and reusability across functional boundaries</w:t>
      </w:r>
    </w:p>
    <w:p w14:paraId="6575BF1A" w14:textId="306A66C6" w:rsidR="00BF1D10" w:rsidRPr="009C4547" w:rsidRDefault="00BF1D10" w:rsidP="009C4547">
      <w:pPr>
        <w:pStyle w:val="00BodyText"/>
        <w:numPr>
          <w:ilvl w:val="0"/>
          <w:numId w:val="3"/>
        </w:numPr>
        <w:tabs>
          <w:tab w:val="left" w:pos="709"/>
        </w:tabs>
        <w:spacing w:before="120" w:after="0"/>
        <w:ind w:left="714" w:hanging="357"/>
        <w:jc w:val="both"/>
        <w:rPr>
          <w:rFonts w:ascii="Times New Roman" w:hAnsi="Times New Roman"/>
          <w:sz w:val="20"/>
          <w:lang w:val="en-GB"/>
        </w:rPr>
      </w:pPr>
      <w:r w:rsidRPr="009C4547">
        <w:rPr>
          <w:rFonts w:ascii="Times New Roman" w:hAnsi="Times New Roman"/>
          <w:b/>
          <w:bCs/>
          <w:sz w:val="20"/>
          <w:lang w:val="en-GB"/>
        </w:rPr>
        <w:t>Service Exposure and Discovery</w:t>
      </w:r>
      <w:r w:rsidRPr="009C4547">
        <w:rPr>
          <w:rFonts w:ascii="Times New Roman" w:hAnsi="Times New Roman"/>
          <w:sz w:val="20"/>
          <w:lang w:val="en-GB"/>
        </w:rPr>
        <w:t>: RAN NFs could expose their capabilities as discoverable services via standardized APIs, enabling other NFs (within RAN or external domains) to dynamically locate and invoke such services. This would require introducing mechanisms</w:t>
      </w:r>
      <w:r w:rsidR="002F5D9A" w:rsidRPr="009C4547">
        <w:rPr>
          <w:rFonts w:ascii="Times New Roman" w:hAnsi="Times New Roman"/>
          <w:sz w:val="20"/>
          <w:lang w:val="en-GB"/>
        </w:rPr>
        <w:t>,</w:t>
      </w:r>
      <w:r w:rsidRPr="009C4547">
        <w:rPr>
          <w:rFonts w:ascii="Times New Roman" w:hAnsi="Times New Roman"/>
          <w:sz w:val="20"/>
          <w:lang w:val="en-GB"/>
        </w:rPr>
        <w:t xml:space="preserve"> similar to the Network Function Repository Function (NRF) used in the 5GC</w:t>
      </w:r>
    </w:p>
    <w:p w14:paraId="092A6C16" w14:textId="18F7AB2A" w:rsidR="00BF1D10" w:rsidRPr="009C4547" w:rsidRDefault="00BF1D10" w:rsidP="009C4547">
      <w:pPr>
        <w:pStyle w:val="00BodyText"/>
        <w:numPr>
          <w:ilvl w:val="0"/>
          <w:numId w:val="3"/>
        </w:numPr>
        <w:tabs>
          <w:tab w:val="left" w:pos="709"/>
        </w:tabs>
        <w:spacing w:before="120" w:after="0"/>
        <w:ind w:left="714" w:hanging="357"/>
        <w:jc w:val="both"/>
        <w:rPr>
          <w:rFonts w:ascii="Times New Roman" w:hAnsi="Times New Roman"/>
          <w:sz w:val="20"/>
          <w:lang w:val="en-GB"/>
        </w:rPr>
      </w:pPr>
      <w:r w:rsidRPr="009C4547">
        <w:rPr>
          <w:rFonts w:ascii="Times New Roman" w:hAnsi="Times New Roman"/>
          <w:b/>
          <w:bCs/>
          <w:sz w:val="20"/>
          <w:lang w:val="en-GB"/>
        </w:rPr>
        <w:t>Consumer/Provider Roles within RAN</w:t>
      </w:r>
      <w:r w:rsidRPr="009C4547">
        <w:rPr>
          <w:rFonts w:ascii="Times New Roman" w:hAnsi="Times New Roman"/>
          <w:sz w:val="20"/>
          <w:lang w:val="en-GB"/>
        </w:rPr>
        <w:t xml:space="preserve">: </w:t>
      </w:r>
      <w:r w:rsidR="00DD5043" w:rsidRPr="009C4547">
        <w:rPr>
          <w:rFonts w:ascii="Times New Roman" w:hAnsi="Times New Roman"/>
          <w:sz w:val="20"/>
          <w:lang w:val="en-GB"/>
        </w:rPr>
        <w:t>f</w:t>
      </w:r>
      <w:r w:rsidRPr="009C4547">
        <w:rPr>
          <w:rFonts w:ascii="Times New Roman" w:hAnsi="Times New Roman"/>
          <w:sz w:val="20"/>
          <w:lang w:val="en-GB"/>
        </w:rPr>
        <w:t xml:space="preserve">unctions such as </w:t>
      </w:r>
      <w:r w:rsidR="00902877" w:rsidRPr="009C4547">
        <w:rPr>
          <w:rFonts w:ascii="Times New Roman" w:hAnsi="Times New Roman"/>
          <w:sz w:val="20"/>
          <w:lang w:val="en-GB"/>
        </w:rPr>
        <w:t xml:space="preserve">the one related to </w:t>
      </w:r>
      <w:r w:rsidRPr="009C4547">
        <w:rPr>
          <w:rFonts w:ascii="Times New Roman" w:hAnsi="Times New Roman"/>
          <w:sz w:val="20"/>
          <w:lang w:val="en-GB"/>
        </w:rPr>
        <w:t>the gNB Central Unit</w:t>
      </w:r>
      <w:r w:rsidR="00734DD2">
        <w:rPr>
          <w:rFonts w:ascii="Times New Roman" w:hAnsi="Times New Roman"/>
          <w:sz w:val="20"/>
          <w:lang w:val="en-GB"/>
        </w:rPr>
        <w:t xml:space="preserve"> for the</w:t>
      </w:r>
      <w:r w:rsidRPr="009C4547">
        <w:rPr>
          <w:rFonts w:ascii="Times New Roman" w:hAnsi="Times New Roman"/>
          <w:sz w:val="20"/>
          <w:lang w:val="en-GB"/>
        </w:rPr>
        <w:t xml:space="preserve"> Control Plane (CU-CP), gNB Distributed Unit (DU), or higher-layer schedulers could act as service providers, offering functionalities (e.g., resource management, UE context handling, QoS provisioning) that other RAN functions consume via service calls, rather than relying on tightly coupled protocol procedures</w:t>
      </w:r>
    </w:p>
    <w:p w14:paraId="68013A32" w14:textId="2440BA7F" w:rsidR="00BF1D10" w:rsidRPr="009C4547" w:rsidRDefault="00D363F5" w:rsidP="009C4547">
      <w:pPr>
        <w:pStyle w:val="00BodyText"/>
        <w:numPr>
          <w:ilvl w:val="0"/>
          <w:numId w:val="3"/>
        </w:numPr>
        <w:tabs>
          <w:tab w:val="left" w:pos="709"/>
        </w:tabs>
        <w:spacing w:before="120" w:after="0"/>
        <w:ind w:left="714" w:hanging="357"/>
        <w:jc w:val="both"/>
        <w:rPr>
          <w:rFonts w:ascii="Times New Roman" w:hAnsi="Times New Roman"/>
          <w:sz w:val="20"/>
          <w:lang w:val="en-GB"/>
        </w:rPr>
      </w:pPr>
      <w:r w:rsidRPr="009C4547">
        <w:rPr>
          <w:rFonts w:ascii="Times New Roman" w:hAnsi="Times New Roman"/>
          <w:b/>
          <w:bCs/>
          <w:sz w:val="20"/>
          <w:lang w:val="en-GB"/>
        </w:rPr>
        <w:t xml:space="preserve">RAN </w:t>
      </w:r>
      <w:r w:rsidR="00BF1D10" w:rsidRPr="009C4547">
        <w:rPr>
          <w:rFonts w:ascii="Times New Roman" w:hAnsi="Times New Roman"/>
          <w:b/>
          <w:bCs/>
          <w:sz w:val="20"/>
          <w:lang w:val="en-GB"/>
        </w:rPr>
        <w:t xml:space="preserve">Interface </w:t>
      </w:r>
      <w:r w:rsidR="00585DC5" w:rsidRPr="009C4547">
        <w:rPr>
          <w:rFonts w:ascii="Times New Roman" w:hAnsi="Times New Roman"/>
          <w:b/>
          <w:bCs/>
          <w:sz w:val="20"/>
          <w:lang w:val="en-GB"/>
        </w:rPr>
        <w:t>r</w:t>
      </w:r>
      <w:r w:rsidR="00BF1D10" w:rsidRPr="009C4547">
        <w:rPr>
          <w:rFonts w:ascii="Times New Roman" w:hAnsi="Times New Roman"/>
          <w:b/>
          <w:bCs/>
          <w:sz w:val="20"/>
          <w:lang w:val="en-GB"/>
        </w:rPr>
        <w:t>e-architecture</w:t>
      </w:r>
      <w:r w:rsidR="00BF1D10" w:rsidRPr="009C4547">
        <w:rPr>
          <w:rFonts w:ascii="Times New Roman" w:hAnsi="Times New Roman"/>
          <w:sz w:val="20"/>
          <w:lang w:val="en-GB"/>
        </w:rPr>
        <w:t xml:space="preserve">: </w:t>
      </w:r>
      <w:r w:rsidR="00DD5043" w:rsidRPr="009C4547">
        <w:rPr>
          <w:rFonts w:ascii="Times New Roman" w:hAnsi="Times New Roman"/>
          <w:sz w:val="20"/>
          <w:lang w:val="en-GB"/>
        </w:rPr>
        <w:t>t</w:t>
      </w:r>
      <w:r w:rsidR="00BF1D10" w:rsidRPr="009C4547">
        <w:rPr>
          <w:rFonts w:ascii="Times New Roman" w:hAnsi="Times New Roman"/>
          <w:sz w:val="20"/>
          <w:lang w:val="en-GB"/>
        </w:rPr>
        <w:t>raditional point-to-point interfaces like F1, E1</w:t>
      </w:r>
      <w:r w:rsidR="00CF0FF4">
        <w:rPr>
          <w:rFonts w:ascii="Times New Roman" w:hAnsi="Times New Roman"/>
          <w:sz w:val="20"/>
          <w:lang w:val="en-GB"/>
        </w:rPr>
        <w:t xml:space="preserve"> and</w:t>
      </w:r>
      <w:r w:rsidR="00BF1D10" w:rsidRPr="009C4547">
        <w:rPr>
          <w:rFonts w:ascii="Times New Roman" w:hAnsi="Times New Roman"/>
          <w:sz w:val="20"/>
          <w:lang w:val="en-GB"/>
        </w:rPr>
        <w:t xml:space="preserve"> Xn could be re-evaluated and potentially redesigned as service-based reference points, allowing more flexible and extensible communication patterns, including support for multi-tenancy, programmability, and network slicing</w:t>
      </w:r>
    </w:p>
    <w:p w14:paraId="4ED62830" w14:textId="3ECB5376" w:rsidR="00BF1D10" w:rsidRPr="009C4547" w:rsidRDefault="00BF1D10" w:rsidP="009C4547">
      <w:pPr>
        <w:pStyle w:val="00BodyText"/>
        <w:numPr>
          <w:ilvl w:val="0"/>
          <w:numId w:val="3"/>
        </w:numPr>
        <w:tabs>
          <w:tab w:val="left" w:pos="709"/>
        </w:tabs>
        <w:spacing w:before="120" w:after="0"/>
        <w:ind w:left="714" w:hanging="357"/>
        <w:jc w:val="both"/>
        <w:rPr>
          <w:rFonts w:ascii="Times New Roman" w:hAnsi="Times New Roman"/>
          <w:sz w:val="20"/>
          <w:lang w:val="en-GB"/>
        </w:rPr>
      </w:pPr>
      <w:r w:rsidRPr="009C4547">
        <w:rPr>
          <w:rFonts w:ascii="Times New Roman" w:hAnsi="Times New Roman"/>
          <w:b/>
          <w:bCs/>
          <w:sz w:val="20"/>
          <w:lang w:val="en-GB"/>
        </w:rPr>
        <w:t>Interworking with SBA-based CN</w:t>
      </w:r>
      <w:r w:rsidRPr="009C4547">
        <w:rPr>
          <w:rFonts w:ascii="Times New Roman" w:hAnsi="Times New Roman"/>
          <w:sz w:val="20"/>
          <w:lang w:val="en-GB"/>
        </w:rPr>
        <w:t xml:space="preserve">: </w:t>
      </w:r>
      <w:r w:rsidR="00DD5043" w:rsidRPr="009C4547">
        <w:rPr>
          <w:rFonts w:ascii="Times New Roman" w:hAnsi="Times New Roman"/>
          <w:sz w:val="20"/>
          <w:lang w:val="en-GB"/>
        </w:rPr>
        <w:t>a</w:t>
      </w:r>
      <w:r w:rsidRPr="009C4547">
        <w:rPr>
          <w:rFonts w:ascii="Times New Roman" w:hAnsi="Times New Roman"/>
          <w:sz w:val="20"/>
          <w:lang w:val="en-GB"/>
        </w:rPr>
        <w:t xml:space="preserve">pplying SBA to the RAN would also allow more coherent and native integration with the </w:t>
      </w:r>
      <w:r w:rsidR="00DD5043" w:rsidRPr="009C4547">
        <w:rPr>
          <w:rFonts w:ascii="Times New Roman" w:hAnsi="Times New Roman"/>
          <w:sz w:val="20"/>
          <w:lang w:val="en-GB"/>
        </w:rPr>
        <w:t>CN</w:t>
      </w:r>
      <w:r w:rsidRPr="009C4547">
        <w:rPr>
          <w:rFonts w:ascii="Times New Roman" w:hAnsi="Times New Roman"/>
          <w:sz w:val="20"/>
          <w:lang w:val="en-GB"/>
        </w:rPr>
        <w:t xml:space="preserve">, possibly enabling RAN services to be </w:t>
      </w:r>
      <w:r w:rsidR="002A10E9" w:rsidRPr="009C4547">
        <w:rPr>
          <w:rFonts w:ascii="Times New Roman" w:hAnsi="Times New Roman"/>
          <w:sz w:val="20"/>
          <w:lang w:val="en-GB"/>
        </w:rPr>
        <w:t xml:space="preserve">easily </w:t>
      </w:r>
      <w:r w:rsidRPr="009C4547">
        <w:rPr>
          <w:rFonts w:ascii="Times New Roman" w:hAnsi="Times New Roman"/>
          <w:sz w:val="20"/>
          <w:lang w:val="en-GB"/>
        </w:rPr>
        <w:t>invoked or orchestrated, especially in the context of AI/ML-driven network automation and intent-based management</w:t>
      </w:r>
    </w:p>
    <w:p w14:paraId="08D09993" w14:textId="77777777" w:rsidR="00BF1D10" w:rsidRPr="00BF1D10" w:rsidRDefault="00BF1D10" w:rsidP="00BF1D10">
      <w:pPr>
        <w:pStyle w:val="00BodyText"/>
        <w:tabs>
          <w:tab w:val="left" w:pos="9072"/>
        </w:tabs>
        <w:spacing w:after="0"/>
        <w:jc w:val="both"/>
        <w:rPr>
          <w:rFonts w:cs="Arial"/>
          <w:sz w:val="20"/>
          <w:lang w:val="en-GB"/>
        </w:rPr>
      </w:pPr>
    </w:p>
    <w:p w14:paraId="3EEC1034" w14:textId="411B22DB" w:rsidR="00B52C52" w:rsidRPr="009C4547" w:rsidRDefault="00BF1D10" w:rsidP="009C4547">
      <w:pPr>
        <w:pStyle w:val="00BodyText"/>
        <w:tabs>
          <w:tab w:val="left" w:pos="9072"/>
        </w:tabs>
        <w:spacing w:after="120"/>
        <w:jc w:val="both"/>
        <w:rPr>
          <w:rFonts w:ascii="Times New Roman" w:hAnsi="Times New Roman"/>
          <w:sz w:val="20"/>
          <w:lang w:val="en-GB"/>
        </w:rPr>
      </w:pPr>
      <w:r w:rsidRPr="009C4547">
        <w:rPr>
          <w:rFonts w:ascii="Times New Roman" w:hAnsi="Times New Roman"/>
          <w:sz w:val="20"/>
          <w:lang w:val="en-GB"/>
        </w:rPr>
        <w:t>This conceptual transition raises several architectural and performance-related challenges, including service granularity, latency budgets, reliability, and control/</w:t>
      </w:r>
      <w:r w:rsidR="00B162D6" w:rsidRPr="009C4547">
        <w:rPr>
          <w:rFonts w:ascii="Times New Roman" w:hAnsi="Times New Roman"/>
          <w:sz w:val="20"/>
          <w:lang w:val="en-GB"/>
        </w:rPr>
        <w:t>user</w:t>
      </w:r>
      <w:r w:rsidRPr="009C4547">
        <w:rPr>
          <w:rFonts w:ascii="Times New Roman" w:hAnsi="Times New Roman"/>
          <w:sz w:val="20"/>
          <w:lang w:val="en-GB"/>
        </w:rPr>
        <w:t xml:space="preserve"> plane separation</w:t>
      </w:r>
      <w:r w:rsidR="00AA6D52" w:rsidRPr="009C4547">
        <w:rPr>
          <w:rFonts w:ascii="Times New Roman" w:hAnsi="Times New Roman"/>
          <w:sz w:val="20"/>
          <w:lang w:val="en-GB"/>
        </w:rPr>
        <w:t>.</w:t>
      </w:r>
    </w:p>
    <w:p w14:paraId="4CB793BC" w14:textId="4D0E0977" w:rsidR="00B52C52" w:rsidRPr="009C4547" w:rsidRDefault="00B52C52" w:rsidP="009C4547">
      <w:pPr>
        <w:pStyle w:val="00BodyText"/>
        <w:tabs>
          <w:tab w:val="left" w:pos="9072"/>
        </w:tabs>
        <w:spacing w:after="120"/>
        <w:jc w:val="both"/>
        <w:rPr>
          <w:rFonts w:ascii="Times New Roman" w:hAnsi="Times New Roman"/>
          <w:sz w:val="20"/>
          <w:lang w:val="en-GB"/>
        </w:rPr>
      </w:pPr>
      <w:r w:rsidRPr="009C4547">
        <w:rPr>
          <w:rFonts w:ascii="Times New Roman" w:hAnsi="Times New Roman"/>
          <w:sz w:val="20"/>
          <w:lang w:val="en-GB"/>
        </w:rPr>
        <w:t xml:space="preserve">In the following, high-level architectural schemes are </w:t>
      </w:r>
      <w:r w:rsidR="004D6187" w:rsidRPr="009C4547">
        <w:rPr>
          <w:rFonts w:ascii="Times New Roman" w:hAnsi="Times New Roman"/>
          <w:sz w:val="20"/>
          <w:lang w:val="en-GB"/>
        </w:rPr>
        <w:t>analysed</w:t>
      </w:r>
      <w:r w:rsidRPr="009C4547">
        <w:rPr>
          <w:rFonts w:ascii="Times New Roman" w:hAnsi="Times New Roman"/>
          <w:sz w:val="20"/>
          <w:lang w:val="en-GB"/>
        </w:rPr>
        <w:t xml:space="preserve">, based on how and where the SBA paradigm is introduced within the RAN. The analysis follows a top-down approach, starting from the interaction between the RAN and the </w:t>
      </w:r>
      <w:r w:rsidR="00104872" w:rsidRPr="009C4547">
        <w:rPr>
          <w:rFonts w:ascii="Times New Roman" w:hAnsi="Times New Roman"/>
          <w:sz w:val="20"/>
          <w:lang w:val="en-GB"/>
        </w:rPr>
        <w:t>CN</w:t>
      </w:r>
      <w:r w:rsidR="008627A2" w:rsidRPr="009C4547">
        <w:rPr>
          <w:rFonts w:ascii="Times New Roman" w:hAnsi="Times New Roman"/>
          <w:sz w:val="20"/>
          <w:lang w:val="en-GB"/>
        </w:rPr>
        <w:t>, addressed in [4]</w:t>
      </w:r>
      <w:r w:rsidRPr="009C4547">
        <w:rPr>
          <w:rFonts w:ascii="Times New Roman" w:hAnsi="Times New Roman"/>
          <w:sz w:val="20"/>
          <w:lang w:val="en-GB"/>
        </w:rPr>
        <w:t>, and progressively considering lower-level internal interfaces and functional splits within the RAN architecture.</w:t>
      </w:r>
    </w:p>
    <w:p w14:paraId="3D3BD577" w14:textId="56D27465" w:rsidR="00B52C52" w:rsidRPr="009C4547" w:rsidRDefault="00B52C52" w:rsidP="009C4547">
      <w:pPr>
        <w:pStyle w:val="00BodyText"/>
        <w:tabs>
          <w:tab w:val="left" w:pos="9072"/>
        </w:tabs>
        <w:spacing w:after="120"/>
        <w:jc w:val="both"/>
        <w:rPr>
          <w:rFonts w:ascii="Times New Roman" w:hAnsi="Times New Roman"/>
          <w:sz w:val="20"/>
          <w:lang w:val="en-GB"/>
        </w:rPr>
      </w:pPr>
      <w:r w:rsidRPr="009C4547">
        <w:rPr>
          <w:rFonts w:ascii="Times New Roman" w:hAnsi="Times New Roman"/>
          <w:sz w:val="20"/>
          <w:lang w:val="en-GB"/>
        </w:rPr>
        <w:t xml:space="preserve">While the diagrams refer to the existing 5G NFs (e.g., CU, DU, RU) for continuity and clarity, the actual entities involved in service-based interactions are the internal services identified within these functional modules. These services may act </w:t>
      </w:r>
      <w:r w:rsidRPr="009C4547">
        <w:rPr>
          <w:rFonts w:ascii="Times New Roman" w:hAnsi="Times New Roman"/>
          <w:sz w:val="20"/>
          <w:lang w:val="en-GB"/>
        </w:rPr>
        <w:lastRenderedPageBreak/>
        <w:t>as producers, consumers, or both, depending on the specific functionality they provide or require. The objective is to illustrate how the RAN could evolve from a protocol-based model to a more flexible, modular, and service-oriented architecture, without disrupting the logical structure defined in current 5G deployments</w:t>
      </w:r>
      <w:r w:rsidR="00942031" w:rsidRPr="009C4547">
        <w:rPr>
          <w:rFonts w:ascii="Times New Roman" w:hAnsi="Times New Roman"/>
          <w:sz w:val="20"/>
          <w:lang w:val="en-GB"/>
        </w:rPr>
        <w:t xml:space="preserve"> and </w:t>
      </w:r>
      <w:r w:rsidR="00632E26" w:rsidRPr="009C4547">
        <w:rPr>
          <w:rFonts w:ascii="Times New Roman" w:hAnsi="Times New Roman"/>
          <w:sz w:val="20"/>
          <w:lang w:val="en-GB"/>
        </w:rPr>
        <w:t xml:space="preserve">facilitating the </w:t>
      </w:r>
      <w:r w:rsidR="00493762" w:rsidRPr="009C4547">
        <w:rPr>
          <w:rFonts w:ascii="Times New Roman" w:hAnsi="Times New Roman"/>
          <w:sz w:val="20"/>
          <w:lang w:val="en-GB"/>
        </w:rPr>
        <w:t xml:space="preserve">requirements </w:t>
      </w:r>
      <w:r w:rsidR="00632E26" w:rsidRPr="009C4547">
        <w:rPr>
          <w:rFonts w:ascii="Times New Roman" w:hAnsi="Times New Roman"/>
          <w:sz w:val="20"/>
          <w:lang w:val="en-GB"/>
        </w:rPr>
        <w:t xml:space="preserve">fulfilment </w:t>
      </w:r>
      <w:r w:rsidR="00493762" w:rsidRPr="009C4547">
        <w:rPr>
          <w:rFonts w:ascii="Times New Roman" w:hAnsi="Times New Roman"/>
          <w:sz w:val="20"/>
          <w:lang w:val="en-GB"/>
        </w:rPr>
        <w:t xml:space="preserve">of </w:t>
      </w:r>
      <w:r w:rsidR="001F6C3C" w:rsidRPr="009C4547">
        <w:rPr>
          <w:rFonts w:ascii="Times New Roman" w:hAnsi="Times New Roman"/>
          <w:sz w:val="20"/>
          <w:lang w:val="en-GB"/>
        </w:rPr>
        <w:t xml:space="preserve">the new </w:t>
      </w:r>
      <w:r w:rsidR="00F314D7" w:rsidRPr="009C4547">
        <w:rPr>
          <w:rFonts w:ascii="Times New Roman" w:hAnsi="Times New Roman"/>
          <w:sz w:val="20"/>
          <w:lang w:val="en-GB"/>
        </w:rPr>
        <w:t xml:space="preserve">6G RAN design (e.g., </w:t>
      </w:r>
      <w:r w:rsidR="006B6043" w:rsidRPr="009C4547">
        <w:rPr>
          <w:rFonts w:ascii="Times New Roman" w:hAnsi="Times New Roman"/>
          <w:sz w:val="20"/>
          <w:lang w:val="en-GB"/>
        </w:rPr>
        <w:t xml:space="preserve">CP/UP separation, </w:t>
      </w:r>
      <w:r w:rsidR="00F704E9" w:rsidRPr="009C4547">
        <w:rPr>
          <w:rFonts w:ascii="Times New Roman" w:hAnsi="Times New Roman"/>
          <w:sz w:val="20"/>
          <w:lang w:val="en-GB"/>
        </w:rPr>
        <w:t xml:space="preserve">multi-vendor interoperability, </w:t>
      </w:r>
      <w:r w:rsidR="0083097A" w:rsidRPr="009C4547">
        <w:rPr>
          <w:rFonts w:ascii="Times New Roman" w:hAnsi="Times New Roman"/>
          <w:sz w:val="20"/>
          <w:lang w:val="en-GB"/>
        </w:rPr>
        <w:t>RAN sharing</w:t>
      </w:r>
      <w:r w:rsidR="00F704E9" w:rsidRPr="009C4547">
        <w:rPr>
          <w:rFonts w:ascii="Times New Roman" w:hAnsi="Times New Roman"/>
          <w:sz w:val="20"/>
          <w:lang w:val="en-GB"/>
        </w:rPr>
        <w:t>)</w:t>
      </w:r>
      <w:r w:rsidR="00F314D7" w:rsidRPr="009C4547">
        <w:rPr>
          <w:rFonts w:ascii="Times New Roman" w:hAnsi="Times New Roman"/>
          <w:sz w:val="20"/>
          <w:lang w:val="en-GB"/>
        </w:rPr>
        <w:t xml:space="preserve"> [3]</w:t>
      </w:r>
      <w:r w:rsidR="00E47B84">
        <w:rPr>
          <w:rFonts w:ascii="Times New Roman" w:hAnsi="Times New Roman"/>
          <w:sz w:val="20"/>
          <w:lang w:val="en-GB"/>
        </w:rPr>
        <w:t>.</w:t>
      </w:r>
    </w:p>
    <w:p w14:paraId="23B2237A" w14:textId="77777777" w:rsidR="00B52C52" w:rsidRDefault="00B52C52" w:rsidP="00577BA4">
      <w:pPr>
        <w:pStyle w:val="00BodyText"/>
        <w:tabs>
          <w:tab w:val="left" w:pos="9072"/>
        </w:tabs>
        <w:spacing w:after="0"/>
        <w:jc w:val="both"/>
        <w:rPr>
          <w:rFonts w:cs="Arial"/>
          <w:sz w:val="20"/>
          <w:lang w:val="en-GB"/>
        </w:rPr>
      </w:pPr>
    </w:p>
    <w:p w14:paraId="60149FBC" w14:textId="6F4DB5A2" w:rsidR="00796D30" w:rsidRPr="00416977" w:rsidRDefault="00796D30" w:rsidP="00F63124">
      <w:pPr>
        <w:pStyle w:val="00BodyText"/>
        <w:tabs>
          <w:tab w:val="left" w:pos="9072"/>
        </w:tabs>
        <w:spacing w:after="120"/>
        <w:jc w:val="both"/>
        <w:rPr>
          <w:rFonts w:cs="Arial"/>
          <w:b/>
          <w:bCs/>
          <w:sz w:val="20"/>
        </w:rPr>
      </w:pPr>
      <w:r w:rsidRPr="00416977">
        <w:rPr>
          <w:rFonts w:cs="Arial"/>
          <w:b/>
          <w:bCs/>
          <w:sz w:val="20"/>
        </w:rPr>
        <w:t>Scenario #</w:t>
      </w:r>
      <w:r w:rsidR="00643137" w:rsidRPr="00416977">
        <w:rPr>
          <w:rFonts w:cs="Arial"/>
          <w:b/>
          <w:bCs/>
          <w:sz w:val="20"/>
        </w:rPr>
        <w:t>1</w:t>
      </w:r>
      <w:r w:rsidRPr="00416977">
        <w:rPr>
          <w:rFonts w:cs="Arial"/>
          <w:b/>
          <w:bCs/>
          <w:sz w:val="20"/>
        </w:rPr>
        <w:t xml:space="preserve">: SBA Applied to E1 </w:t>
      </w:r>
      <w:r w:rsidR="00C82CED" w:rsidRPr="00416977">
        <w:rPr>
          <w:rFonts w:cs="Arial"/>
          <w:b/>
          <w:bCs/>
          <w:sz w:val="20"/>
        </w:rPr>
        <w:t>and Xn</w:t>
      </w:r>
      <w:r w:rsidR="00A6281C">
        <w:rPr>
          <w:rFonts w:cs="Arial"/>
          <w:b/>
          <w:bCs/>
          <w:sz w:val="20"/>
        </w:rPr>
        <w:t>-C</w:t>
      </w:r>
      <w:r w:rsidR="00C82CED" w:rsidRPr="00416977">
        <w:rPr>
          <w:rFonts w:cs="Arial"/>
          <w:b/>
          <w:bCs/>
          <w:sz w:val="20"/>
        </w:rPr>
        <w:t xml:space="preserve"> </w:t>
      </w:r>
      <w:r w:rsidRPr="00416977">
        <w:rPr>
          <w:rFonts w:cs="Arial"/>
          <w:b/>
          <w:bCs/>
          <w:sz w:val="20"/>
        </w:rPr>
        <w:t>Interfaces</w:t>
      </w:r>
    </w:p>
    <w:p w14:paraId="5A34B81A" w14:textId="1EEA4A9D" w:rsidR="00796D30" w:rsidRPr="00E47B84" w:rsidRDefault="00796D30"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t>In this scenario, the SBA is applied to the E1 interface (between CU-CP and CU-UP)</w:t>
      </w:r>
      <w:r w:rsidR="00BF09DF">
        <w:rPr>
          <w:rFonts w:ascii="Times New Roman" w:hAnsi="Times New Roman"/>
          <w:sz w:val="20"/>
          <w:lang w:val="en-GB"/>
        </w:rPr>
        <w:t xml:space="preserve"> and to</w:t>
      </w:r>
      <w:r w:rsidR="007509F3" w:rsidRPr="00E47B84">
        <w:rPr>
          <w:rFonts w:ascii="Times New Roman" w:hAnsi="Times New Roman"/>
          <w:sz w:val="20"/>
          <w:lang w:val="en-GB"/>
        </w:rPr>
        <w:t xml:space="preserve"> the Xn</w:t>
      </w:r>
      <w:r w:rsidR="00E23D6A" w:rsidRPr="00E47B84">
        <w:rPr>
          <w:rFonts w:ascii="Times New Roman" w:hAnsi="Times New Roman"/>
          <w:sz w:val="20"/>
          <w:lang w:val="en-GB"/>
        </w:rPr>
        <w:t>-C</w:t>
      </w:r>
      <w:r w:rsidR="007509F3" w:rsidRPr="00E47B84">
        <w:rPr>
          <w:rFonts w:ascii="Times New Roman" w:hAnsi="Times New Roman"/>
          <w:sz w:val="20"/>
          <w:lang w:val="en-GB"/>
        </w:rPr>
        <w:t xml:space="preserve"> interface</w:t>
      </w:r>
      <w:r w:rsidR="00BF09DF">
        <w:rPr>
          <w:rFonts w:ascii="Times New Roman" w:hAnsi="Times New Roman"/>
          <w:sz w:val="20"/>
          <w:lang w:val="en-GB"/>
        </w:rPr>
        <w:t xml:space="preserve"> </w:t>
      </w:r>
      <w:r w:rsidR="0096262C" w:rsidRPr="00E47B84">
        <w:rPr>
          <w:rFonts w:ascii="Times New Roman" w:hAnsi="Times New Roman"/>
          <w:sz w:val="20"/>
          <w:lang w:val="en-GB"/>
        </w:rPr>
        <w:t>addressing communication between CU-CPs</w:t>
      </w:r>
      <w:r w:rsidR="00C82CED" w:rsidRPr="00E47B84">
        <w:rPr>
          <w:rFonts w:ascii="Times New Roman" w:hAnsi="Times New Roman"/>
          <w:sz w:val="20"/>
          <w:lang w:val="en-GB"/>
        </w:rPr>
        <w:t>.</w:t>
      </w:r>
    </w:p>
    <w:p w14:paraId="0AD3EE87" w14:textId="49C28F3C" w:rsidR="00796D30" w:rsidRPr="00E47B84" w:rsidRDefault="00426D9B"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t xml:space="preserve">As depicted in Figure 3, this scenario introduces a Service Bus internal to the RAN. This internal Service Bus enables service-based interactions </w:t>
      </w:r>
      <w:r w:rsidR="001E31E1" w:rsidRPr="00E47B84">
        <w:rPr>
          <w:rFonts w:ascii="Times New Roman" w:hAnsi="Times New Roman"/>
          <w:sz w:val="20"/>
          <w:lang w:val="en-GB"/>
        </w:rPr>
        <w:t>among functionalities of</w:t>
      </w:r>
      <w:r w:rsidRPr="00E47B84">
        <w:rPr>
          <w:rFonts w:ascii="Times New Roman" w:hAnsi="Times New Roman"/>
          <w:sz w:val="20"/>
          <w:lang w:val="en-GB"/>
        </w:rPr>
        <w:t xml:space="preserve"> CU-CP and CU-UP components</w:t>
      </w:r>
      <w:r w:rsidR="002B6208">
        <w:rPr>
          <w:rFonts w:ascii="Times New Roman" w:hAnsi="Times New Roman"/>
          <w:sz w:val="20"/>
          <w:lang w:val="en-GB"/>
        </w:rPr>
        <w:t xml:space="preserve"> or among C</w:t>
      </w:r>
      <w:r w:rsidR="00E3322E">
        <w:rPr>
          <w:rFonts w:ascii="Times New Roman" w:hAnsi="Times New Roman"/>
          <w:sz w:val="20"/>
          <w:lang w:val="en-GB"/>
        </w:rPr>
        <w:t>U</w:t>
      </w:r>
      <w:r w:rsidR="002B6208">
        <w:rPr>
          <w:rFonts w:ascii="Times New Roman" w:hAnsi="Times New Roman"/>
          <w:sz w:val="20"/>
          <w:lang w:val="en-GB"/>
        </w:rPr>
        <w:t>-CPs</w:t>
      </w:r>
      <w:r w:rsidRPr="00E47B84">
        <w:rPr>
          <w:rFonts w:ascii="Times New Roman" w:hAnsi="Times New Roman"/>
          <w:sz w:val="20"/>
          <w:lang w:val="en-GB"/>
        </w:rPr>
        <w:t xml:space="preserve">, transforming traditional E1 </w:t>
      </w:r>
      <w:r w:rsidR="00E3322E">
        <w:rPr>
          <w:rFonts w:ascii="Times New Roman" w:hAnsi="Times New Roman"/>
          <w:sz w:val="20"/>
          <w:lang w:val="en-GB"/>
        </w:rPr>
        <w:t xml:space="preserve">and Xn </w:t>
      </w:r>
      <w:r w:rsidRPr="00E47B84">
        <w:rPr>
          <w:rFonts w:ascii="Times New Roman" w:hAnsi="Times New Roman"/>
          <w:sz w:val="20"/>
          <w:lang w:val="en-GB"/>
        </w:rPr>
        <w:t>communication into service exposure and consumption</w:t>
      </w:r>
      <w:r w:rsidR="00B60B8C" w:rsidRPr="00E47B84">
        <w:rPr>
          <w:rFonts w:ascii="Times New Roman" w:hAnsi="Times New Roman"/>
          <w:sz w:val="20"/>
          <w:lang w:val="en-GB"/>
        </w:rPr>
        <w:t>, w</w:t>
      </w:r>
      <w:r w:rsidRPr="00E47B84">
        <w:rPr>
          <w:rFonts w:ascii="Times New Roman" w:hAnsi="Times New Roman"/>
          <w:sz w:val="20"/>
          <w:lang w:val="en-GB"/>
        </w:rPr>
        <w:t xml:space="preserve">hile </w:t>
      </w:r>
      <w:r w:rsidR="002B5207" w:rsidRPr="00E47B84">
        <w:rPr>
          <w:rFonts w:ascii="Times New Roman" w:hAnsi="Times New Roman"/>
          <w:sz w:val="20"/>
          <w:lang w:val="en-GB"/>
        </w:rPr>
        <w:t xml:space="preserve">maintaining unchanged </w:t>
      </w:r>
      <w:r w:rsidRPr="00E47B84">
        <w:rPr>
          <w:rFonts w:ascii="Times New Roman" w:hAnsi="Times New Roman"/>
          <w:sz w:val="20"/>
          <w:lang w:val="en-GB"/>
        </w:rPr>
        <w:t>the underlying RAN architecture.</w:t>
      </w:r>
    </w:p>
    <w:p w14:paraId="13865CBC" w14:textId="1BC229D9" w:rsidR="003B3C54" w:rsidRPr="00E47B84" w:rsidRDefault="004E2753"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t>T</w:t>
      </w:r>
      <w:r w:rsidR="003B3C54" w:rsidRPr="00E47B84">
        <w:rPr>
          <w:rFonts w:ascii="Times New Roman" w:hAnsi="Times New Roman"/>
          <w:sz w:val="20"/>
          <w:lang w:val="en-GB"/>
        </w:rPr>
        <w:t xml:space="preserve">he following two </w:t>
      </w:r>
      <w:r w:rsidR="00D77A9F" w:rsidRPr="00E47B84">
        <w:rPr>
          <w:rFonts w:ascii="Times New Roman" w:hAnsi="Times New Roman"/>
          <w:sz w:val="20"/>
          <w:lang w:val="en-GB"/>
        </w:rPr>
        <w:t>service-based reference points</w:t>
      </w:r>
      <w:r w:rsidR="003B3C54" w:rsidRPr="00E47B84">
        <w:rPr>
          <w:rFonts w:ascii="Times New Roman" w:hAnsi="Times New Roman"/>
          <w:sz w:val="20"/>
          <w:lang w:val="en-GB"/>
        </w:rPr>
        <w:t xml:space="preserve"> could be introduced:</w:t>
      </w:r>
    </w:p>
    <w:p w14:paraId="35F7AC0C" w14:textId="5B1D13B8" w:rsidR="003B3C54" w:rsidRPr="00E47B84" w:rsidRDefault="003B3C54" w:rsidP="00E47B84">
      <w:pPr>
        <w:pStyle w:val="00BodyText"/>
        <w:numPr>
          <w:ilvl w:val="0"/>
          <w:numId w:val="3"/>
        </w:numPr>
        <w:tabs>
          <w:tab w:val="left" w:pos="709"/>
        </w:tabs>
        <w:spacing w:before="120" w:after="0"/>
        <w:ind w:left="714" w:hanging="357"/>
        <w:jc w:val="both"/>
        <w:rPr>
          <w:rFonts w:ascii="Times New Roman" w:hAnsi="Times New Roman"/>
          <w:sz w:val="20"/>
          <w:lang w:val="en-GB"/>
        </w:rPr>
      </w:pPr>
      <w:r w:rsidRPr="00E47B84">
        <w:rPr>
          <w:rFonts w:ascii="Times New Roman" w:hAnsi="Times New Roman"/>
          <w:sz w:val="20"/>
          <w:lang w:val="en-GB"/>
        </w:rPr>
        <w:t xml:space="preserve">Nngcucp*: </w:t>
      </w:r>
      <w:r w:rsidR="00C16BB0" w:rsidRPr="00E47B84">
        <w:rPr>
          <w:rFonts w:ascii="Times New Roman" w:hAnsi="Times New Roman"/>
          <w:sz w:val="20"/>
          <w:lang w:val="en-GB"/>
        </w:rPr>
        <w:t xml:space="preserve">this SAP refers to </w:t>
      </w:r>
      <w:r w:rsidRPr="00E47B84">
        <w:rPr>
          <w:rFonts w:ascii="Times New Roman" w:hAnsi="Times New Roman"/>
          <w:sz w:val="20"/>
          <w:lang w:val="en-GB"/>
        </w:rPr>
        <w:t>services produced by the CU-CP and consumed by CU-UP</w:t>
      </w:r>
      <w:r w:rsidR="005D017D" w:rsidRPr="00E47B84">
        <w:rPr>
          <w:rFonts w:ascii="Times New Roman" w:hAnsi="Times New Roman"/>
          <w:sz w:val="20"/>
          <w:lang w:val="en-GB"/>
        </w:rPr>
        <w:t xml:space="preserve"> or other CU-CP</w:t>
      </w:r>
      <w:r w:rsidR="005A460B" w:rsidRPr="00E47B84">
        <w:rPr>
          <w:rFonts w:ascii="Times New Roman" w:hAnsi="Times New Roman"/>
          <w:sz w:val="20"/>
          <w:lang w:val="en-GB"/>
        </w:rPr>
        <w:t>s</w:t>
      </w:r>
    </w:p>
    <w:p w14:paraId="371541F1" w14:textId="563E5F6A" w:rsidR="003B3C54" w:rsidRPr="00E47B84" w:rsidRDefault="003B3C54" w:rsidP="00E47B84">
      <w:pPr>
        <w:pStyle w:val="00BodyText"/>
        <w:numPr>
          <w:ilvl w:val="0"/>
          <w:numId w:val="3"/>
        </w:numPr>
        <w:tabs>
          <w:tab w:val="left" w:pos="709"/>
        </w:tabs>
        <w:spacing w:before="120" w:after="0"/>
        <w:ind w:left="714" w:hanging="357"/>
        <w:jc w:val="both"/>
        <w:rPr>
          <w:rFonts w:ascii="Times New Roman" w:hAnsi="Times New Roman"/>
          <w:sz w:val="20"/>
          <w:lang w:val="en-GB"/>
        </w:rPr>
      </w:pPr>
      <w:r w:rsidRPr="00E47B84">
        <w:rPr>
          <w:rFonts w:ascii="Times New Roman" w:hAnsi="Times New Roman"/>
          <w:sz w:val="20"/>
          <w:lang w:val="en-GB"/>
        </w:rPr>
        <w:t xml:space="preserve">Nngcuup: </w:t>
      </w:r>
      <w:r w:rsidR="00C16BB0" w:rsidRPr="00E47B84">
        <w:rPr>
          <w:rFonts w:ascii="Times New Roman" w:hAnsi="Times New Roman"/>
          <w:sz w:val="20"/>
          <w:lang w:val="en-GB"/>
        </w:rPr>
        <w:t xml:space="preserve">this SAP refers to </w:t>
      </w:r>
      <w:r w:rsidRPr="00E47B84">
        <w:rPr>
          <w:rFonts w:ascii="Times New Roman" w:hAnsi="Times New Roman"/>
          <w:sz w:val="20"/>
          <w:lang w:val="en-GB"/>
        </w:rPr>
        <w:t>services produced by the CU-UP and consumed by the CU-CP</w:t>
      </w:r>
    </w:p>
    <w:p w14:paraId="62141929" w14:textId="3E4DB4FD" w:rsidR="00796D30" w:rsidRPr="00796D30" w:rsidRDefault="00796D30" w:rsidP="002B6140">
      <w:pPr>
        <w:pStyle w:val="Proposal"/>
        <w:tabs>
          <w:tab w:val="left" w:pos="709"/>
        </w:tabs>
        <w:spacing w:before="120" w:after="120"/>
        <w:jc w:val="both"/>
        <w:rPr>
          <w:rFonts w:ascii="Arial" w:eastAsia="Times New Roman" w:hAnsi="Arial" w:cs="Arial"/>
          <w:b w:val="0"/>
        </w:rPr>
      </w:pPr>
    </w:p>
    <w:p w14:paraId="3DC33B41" w14:textId="6FBFDAFA" w:rsidR="0049678E" w:rsidRDefault="00885C51" w:rsidP="00272B6C">
      <w:pPr>
        <w:pStyle w:val="Proposal"/>
        <w:tabs>
          <w:tab w:val="left" w:pos="709"/>
        </w:tabs>
        <w:spacing w:before="120" w:after="120"/>
        <w:jc w:val="center"/>
        <w:rPr>
          <w:rFonts w:ascii="Arial" w:eastAsia="Times New Roman" w:hAnsi="Arial" w:cs="Arial"/>
          <w:b w:val="0"/>
        </w:rPr>
      </w:pPr>
      <w:r>
        <w:rPr>
          <w:rFonts w:ascii="Arial" w:eastAsia="Times New Roman" w:hAnsi="Arial" w:cs="Arial"/>
          <w:b w:val="0"/>
          <w:noProof/>
        </w:rPr>
        <w:drawing>
          <wp:inline distT="0" distB="0" distL="0" distR="0" wp14:anchorId="5C7E3377" wp14:editId="32A2656C">
            <wp:extent cx="5222240" cy="1779213"/>
            <wp:effectExtent l="0" t="0" r="0" b="0"/>
            <wp:docPr id="868346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5997" cy="1794121"/>
                    </a:xfrm>
                    <a:prstGeom prst="rect">
                      <a:avLst/>
                    </a:prstGeom>
                    <a:noFill/>
                  </pic:spPr>
                </pic:pic>
              </a:graphicData>
            </a:graphic>
          </wp:inline>
        </w:drawing>
      </w:r>
    </w:p>
    <w:p w14:paraId="18DB57C9" w14:textId="57A580B0" w:rsidR="00796D30" w:rsidRPr="00E47B84" w:rsidRDefault="00EB2EF5" w:rsidP="00EB2EF5">
      <w:pPr>
        <w:pStyle w:val="Proposal"/>
        <w:tabs>
          <w:tab w:val="clear" w:pos="1560"/>
          <w:tab w:val="left" w:pos="709"/>
        </w:tabs>
        <w:spacing w:before="120" w:after="120"/>
        <w:jc w:val="center"/>
        <w:rPr>
          <w:rFonts w:eastAsia="Times New Roman"/>
          <w:b w:val="0"/>
        </w:rPr>
      </w:pPr>
      <w:r w:rsidRPr="00E47B84">
        <w:rPr>
          <w:rFonts w:eastAsia="Times New Roman"/>
          <w:b w:val="0"/>
        </w:rPr>
        <w:t xml:space="preserve">Figure 3 – High level scheme of SBA applied to E1 </w:t>
      </w:r>
      <w:r w:rsidR="00B82863" w:rsidRPr="00E47B84">
        <w:rPr>
          <w:rFonts w:eastAsia="Times New Roman"/>
          <w:b w:val="0"/>
        </w:rPr>
        <w:t>and Xn</w:t>
      </w:r>
      <w:r w:rsidR="00A6281C" w:rsidRPr="00E47B84">
        <w:rPr>
          <w:rFonts w:eastAsia="Times New Roman"/>
          <w:b w:val="0"/>
        </w:rPr>
        <w:t>-C</w:t>
      </w:r>
      <w:r w:rsidR="00B82863" w:rsidRPr="00E47B84">
        <w:rPr>
          <w:rFonts w:eastAsia="Times New Roman"/>
          <w:b w:val="0"/>
        </w:rPr>
        <w:t xml:space="preserve"> </w:t>
      </w:r>
      <w:r w:rsidRPr="00E47B84">
        <w:rPr>
          <w:rFonts w:eastAsia="Times New Roman"/>
          <w:b w:val="0"/>
        </w:rPr>
        <w:t>interfaces</w:t>
      </w:r>
    </w:p>
    <w:p w14:paraId="4625195D" w14:textId="06B5FD51" w:rsidR="003B3C54" w:rsidRPr="00E47B84" w:rsidRDefault="003B3C54"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t>The motivation for including E1</w:t>
      </w:r>
      <w:r w:rsidR="000A002C" w:rsidRPr="00E47B84">
        <w:rPr>
          <w:rFonts w:ascii="Times New Roman" w:hAnsi="Times New Roman"/>
          <w:sz w:val="20"/>
          <w:lang w:val="en-GB"/>
        </w:rPr>
        <w:t xml:space="preserve"> and Xn-C</w:t>
      </w:r>
      <w:r w:rsidRPr="00E47B84">
        <w:rPr>
          <w:rFonts w:ascii="Times New Roman" w:hAnsi="Times New Roman"/>
          <w:sz w:val="20"/>
          <w:lang w:val="en-GB"/>
        </w:rPr>
        <w:t xml:space="preserve"> in the SBA evolution path follows from the fact that </w:t>
      </w:r>
      <w:r w:rsidR="008D590D">
        <w:rPr>
          <w:rFonts w:ascii="Times New Roman" w:hAnsi="Times New Roman"/>
          <w:sz w:val="20"/>
          <w:lang w:val="en-GB"/>
        </w:rPr>
        <w:t>these interfaces</w:t>
      </w:r>
      <w:r w:rsidR="000A002C" w:rsidRPr="00E47B84">
        <w:rPr>
          <w:rFonts w:ascii="Times New Roman" w:hAnsi="Times New Roman"/>
          <w:sz w:val="20"/>
          <w:lang w:val="en-GB"/>
        </w:rPr>
        <w:t xml:space="preserve"> </w:t>
      </w:r>
      <w:r w:rsidRPr="00E47B84">
        <w:rPr>
          <w:rFonts w:ascii="Times New Roman" w:hAnsi="Times New Roman"/>
          <w:sz w:val="20"/>
          <w:lang w:val="en-GB"/>
        </w:rPr>
        <w:t xml:space="preserve">do not impose strict latency or real-time constraints. Transitioning E1 </w:t>
      </w:r>
      <w:r w:rsidR="000F1F4F" w:rsidRPr="00E47B84">
        <w:rPr>
          <w:rFonts w:ascii="Times New Roman" w:hAnsi="Times New Roman"/>
          <w:sz w:val="20"/>
          <w:lang w:val="en-GB"/>
        </w:rPr>
        <w:t>and Xn</w:t>
      </w:r>
      <w:r w:rsidR="00F37177">
        <w:rPr>
          <w:rFonts w:ascii="Times New Roman" w:hAnsi="Times New Roman"/>
          <w:sz w:val="20"/>
          <w:lang w:val="en-GB"/>
        </w:rPr>
        <w:t>-C</w:t>
      </w:r>
      <w:r w:rsidR="000F1F4F" w:rsidRPr="00E47B84">
        <w:rPr>
          <w:rFonts w:ascii="Times New Roman" w:hAnsi="Times New Roman"/>
          <w:sz w:val="20"/>
          <w:lang w:val="en-GB"/>
        </w:rPr>
        <w:t xml:space="preserve"> </w:t>
      </w:r>
      <w:r w:rsidRPr="00E47B84">
        <w:rPr>
          <w:rFonts w:ascii="Times New Roman" w:hAnsi="Times New Roman"/>
          <w:sz w:val="20"/>
          <w:lang w:val="en-GB"/>
        </w:rPr>
        <w:t>to a service-based interface enables CU-CP and CU-UP components to interact via standardized, discoverable services, avoiding the need for a proliferation of static point-to-point (P2P) connections. In deployment scenarios where a single CU-CP is associated with multiple CU-UP instances (1:N relationship), the adoption of a producer/consumer model allows for more efficient and scalable interactions. Instead of establishing and maintaining dedicated E1 interfaces for each CU-UP, the CU-CP can dynamically discover and consume services offered by available CU-UPs via a logical Service Bus. This decouples control and user plane functions at the service level, simplifies configuration management, and facilitates dynamic association based on policies such as load, location, or resource availability.</w:t>
      </w:r>
    </w:p>
    <w:p w14:paraId="0FA3D530" w14:textId="77777777" w:rsidR="003B3C54" w:rsidRPr="00E47B84" w:rsidRDefault="003B3C54"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t>For example, in scenarios involving dynamic user-plane function selection – due to mobility, traffic steering, or resource optimization – the CU-CP can invoke user-plane services exposed by the most appropriate CU-UP instance without requiring pre-established, rigid bindings. This architectural flexibility is particularly beneficial in cloud-native or disaggregated RAN environments, where CU-UP instances may be dynamically instantiated, scaled, or relocated.</w:t>
      </w:r>
    </w:p>
    <w:p w14:paraId="6A2CE6BB" w14:textId="14B9B3AB" w:rsidR="00B25D8D" w:rsidRPr="00E47B84" w:rsidRDefault="00707B31"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t xml:space="preserve">Ultimately, this represents a </w:t>
      </w:r>
      <w:r w:rsidR="000C5D4C" w:rsidRPr="00E47B84">
        <w:rPr>
          <w:rFonts w:ascii="Times New Roman" w:hAnsi="Times New Roman"/>
          <w:sz w:val="20"/>
          <w:lang w:val="en-GB"/>
        </w:rPr>
        <w:t xml:space="preserve">possible </w:t>
      </w:r>
      <w:r w:rsidRPr="00E47B84">
        <w:rPr>
          <w:rFonts w:ascii="Times New Roman" w:hAnsi="Times New Roman"/>
          <w:sz w:val="20"/>
          <w:lang w:val="en-GB"/>
        </w:rPr>
        <w:t>step in the progressive evolution toward a fully service-based RAN architecture, leveraging the benefits of cloud-native design without disrupting the essential functional roles already defined in 5G.</w:t>
      </w:r>
    </w:p>
    <w:p w14:paraId="1D458C4C" w14:textId="77777777" w:rsidR="00707B31" w:rsidRDefault="00707B31" w:rsidP="00707B31">
      <w:pPr>
        <w:pStyle w:val="Proposal"/>
        <w:tabs>
          <w:tab w:val="left" w:pos="709"/>
        </w:tabs>
        <w:spacing w:before="120" w:after="120"/>
        <w:jc w:val="both"/>
        <w:rPr>
          <w:rFonts w:ascii="Arial" w:eastAsia="Times New Roman" w:hAnsi="Arial" w:cs="Arial"/>
          <w:b w:val="0"/>
        </w:rPr>
      </w:pPr>
    </w:p>
    <w:p w14:paraId="385B4610" w14:textId="4AE49DE1" w:rsidR="00B25D8D" w:rsidRPr="00B25D8D" w:rsidRDefault="00B25D8D" w:rsidP="00F90B5B">
      <w:pPr>
        <w:pStyle w:val="00BodyText"/>
        <w:tabs>
          <w:tab w:val="left" w:pos="9072"/>
        </w:tabs>
        <w:spacing w:after="120"/>
        <w:jc w:val="both"/>
        <w:rPr>
          <w:rFonts w:cs="Arial"/>
          <w:b/>
          <w:bCs/>
          <w:sz w:val="20"/>
          <w:lang w:val="en-GB"/>
        </w:rPr>
      </w:pPr>
      <w:r w:rsidRPr="00B25D8D">
        <w:rPr>
          <w:rFonts w:cs="Arial"/>
          <w:b/>
          <w:bCs/>
          <w:sz w:val="20"/>
          <w:lang w:val="en-GB"/>
        </w:rPr>
        <w:t>Scenario #</w:t>
      </w:r>
      <w:r w:rsidR="000C5D4C">
        <w:rPr>
          <w:rFonts w:cs="Arial"/>
          <w:b/>
          <w:bCs/>
          <w:sz w:val="20"/>
          <w:lang w:val="en-GB"/>
        </w:rPr>
        <w:t>2</w:t>
      </w:r>
      <w:r w:rsidRPr="00B25D8D">
        <w:rPr>
          <w:rFonts w:cs="Arial"/>
          <w:b/>
          <w:bCs/>
          <w:sz w:val="20"/>
          <w:lang w:val="en-GB"/>
        </w:rPr>
        <w:t>: SBA Applied to E1</w:t>
      </w:r>
      <w:r w:rsidR="00D476D2">
        <w:rPr>
          <w:rFonts w:cs="Arial"/>
          <w:b/>
          <w:bCs/>
          <w:sz w:val="20"/>
          <w:lang w:val="en-GB"/>
        </w:rPr>
        <w:t xml:space="preserve"> (and Xn</w:t>
      </w:r>
      <w:r w:rsidR="00A6281C">
        <w:rPr>
          <w:rFonts w:cs="Arial"/>
          <w:b/>
          <w:bCs/>
          <w:sz w:val="20"/>
          <w:lang w:val="en-GB"/>
        </w:rPr>
        <w:t>-C</w:t>
      </w:r>
      <w:r w:rsidR="00D476D2">
        <w:rPr>
          <w:rFonts w:cs="Arial"/>
          <w:b/>
          <w:bCs/>
          <w:sz w:val="20"/>
          <w:lang w:val="en-GB"/>
        </w:rPr>
        <w:t>)</w:t>
      </w:r>
      <w:r w:rsidRPr="00B25D8D">
        <w:rPr>
          <w:rFonts w:cs="Arial"/>
          <w:b/>
          <w:bCs/>
          <w:sz w:val="20"/>
          <w:lang w:val="en-GB"/>
        </w:rPr>
        <w:t>, and F1-C Interfaces</w:t>
      </w:r>
    </w:p>
    <w:p w14:paraId="0E9B5A44" w14:textId="7653A00F" w:rsidR="00B25D8D" w:rsidRPr="00E47B84" w:rsidRDefault="00C712F8"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t>Building on the previous scenarios, i</w:t>
      </w:r>
      <w:r w:rsidR="00B25D8D" w:rsidRPr="00E47B84">
        <w:rPr>
          <w:rFonts w:ascii="Times New Roman" w:hAnsi="Times New Roman"/>
          <w:sz w:val="20"/>
          <w:lang w:val="en-GB"/>
        </w:rPr>
        <w:t>n this scenario, the SBA is further extended to cover the F1-C interface, which connects the CU-CP and the DU in the control plane domain.</w:t>
      </w:r>
    </w:p>
    <w:p w14:paraId="29F579DF" w14:textId="0CD48905" w:rsidR="00B25D8D" w:rsidRPr="00E47B84" w:rsidRDefault="00B25D8D"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t xml:space="preserve">As shown in Figure 4, the RAN Service Bus </w:t>
      </w:r>
      <w:r w:rsidR="00C712F8" w:rsidRPr="00E47B84">
        <w:rPr>
          <w:rFonts w:ascii="Times New Roman" w:hAnsi="Times New Roman"/>
          <w:sz w:val="20"/>
          <w:lang w:val="en-GB"/>
        </w:rPr>
        <w:t>introduced in previous scenario</w:t>
      </w:r>
      <w:r w:rsidR="007950E4" w:rsidRPr="00E47B84">
        <w:rPr>
          <w:rFonts w:ascii="Times New Roman" w:hAnsi="Times New Roman"/>
          <w:sz w:val="20"/>
          <w:lang w:val="en-GB"/>
        </w:rPr>
        <w:t xml:space="preserve"> </w:t>
      </w:r>
      <w:r w:rsidRPr="00E47B84">
        <w:rPr>
          <w:rFonts w:ascii="Times New Roman" w:hAnsi="Times New Roman"/>
          <w:sz w:val="20"/>
          <w:lang w:val="en-GB"/>
        </w:rPr>
        <w:t>is reused and logically extended to support service exposure and consumption by both CU-CP and DU functions. The goal is to enable a consistent, modular, and scalable control plane across all RAN components, including distributed units.</w:t>
      </w:r>
    </w:p>
    <w:p w14:paraId="20CE6E2D" w14:textId="1E8F5D00" w:rsidR="00216122" w:rsidRPr="00E47B84" w:rsidRDefault="00EA3ED8"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lastRenderedPageBreak/>
        <w:t>A</w:t>
      </w:r>
      <w:r w:rsidR="00FA5F2F" w:rsidRPr="00E47B84">
        <w:rPr>
          <w:rFonts w:ascii="Times New Roman" w:hAnsi="Times New Roman"/>
          <w:sz w:val="20"/>
          <w:lang w:val="en-GB"/>
        </w:rPr>
        <w:t>s</w:t>
      </w:r>
      <w:r w:rsidRPr="00E47B84">
        <w:rPr>
          <w:rFonts w:ascii="Times New Roman" w:hAnsi="Times New Roman"/>
          <w:sz w:val="20"/>
          <w:lang w:val="en-GB"/>
        </w:rPr>
        <w:t xml:space="preserve"> for the </w:t>
      </w:r>
      <w:r w:rsidR="00F87E9C" w:rsidRPr="00E47B84">
        <w:rPr>
          <w:rFonts w:ascii="Times New Roman" w:hAnsi="Times New Roman"/>
          <w:sz w:val="20"/>
          <w:lang w:val="en-GB"/>
        </w:rPr>
        <w:t>previous scenario</w:t>
      </w:r>
      <w:r w:rsidR="00216122" w:rsidRPr="00E47B84">
        <w:rPr>
          <w:rFonts w:ascii="Times New Roman" w:hAnsi="Times New Roman"/>
          <w:sz w:val="20"/>
          <w:lang w:val="en-GB"/>
        </w:rPr>
        <w:t xml:space="preserve">, the following two service-based </w:t>
      </w:r>
      <w:r w:rsidR="00846547" w:rsidRPr="00E47B84">
        <w:rPr>
          <w:rFonts w:ascii="Times New Roman" w:hAnsi="Times New Roman"/>
          <w:sz w:val="20"/>
          <w:lang w:val="en-GB"/>
        </w:rPr>
        <w:t>reference points</w:t>
      </w:r>
      <w:r w:rsidR="00216122" w:rsidRPr="00E47B84">
        <w:rPr>
          <w:rFonts w:ascii="Times New Roman" w:hAnsi="Times New Roman"/>
          <w:sz w:val="20"/>
          <w:lang w:val="en-GB"/>
        </w:rPr>
        <w:t xml:space="preserve"> could be introduced:</w:t>
      </w:r>
    </w:p>
    <w:p w14:paraId="10890D1A" w14:textId="699602E8" w:rsidR="00216122" w:rsidRPr="00E47B84" w:rsidRDefault="00216122" w:rsidP="00E47B84">
      <w:pPr>
        <w:pStyle w:val="00BodyText"/>
        <w:numPr>
          <w:ilvl w:val="0"/>
          <w:numId w:val="3"/>
        </w:numPr>
        <w:tabs>
          <w:tab w:val="left" w:pos="709"/>
        </w:tabs>
        <w:spacing w:before="120" w:after="0"/>
        <w:ind w:left="714" w:hanging="357"/>
        <w:jc w:val="both"/>
        <w:rPr>
          <w:rFonts w:ascii="Times New Roman" w:hAnsi="Times New Roman"/>
          <w:sz w:val="20"/>
          <w:lang w:val="en-GB"/>
        </w:rPr>
      </w:pPr>
      <w:r w:rsidRPr="00E47B84">
        <w:rPr>
          <w:rFonts w:ascii="Times New Roman" w:hAnsi="Times New Roman"/>
          <w:sz w:val="20"/>
          <w:lang w:val="en-GB"/>
        </w:rPr>
        <w:t>Nngcucp*</w:t>
      </w:r>
      <w:r w:rsidR="000751A8" w:rsidRPr="00E47B84">
        <w:rPr>
          <w:rFonts w:ascii="Times New Roman" w:hAnsi="Times New Roman"/>
          <w:sz w:val="20"/>
          <w:lang w:val="en-GB"/>
        </w:rPr>
        <w:t>*</w:t>
      </w:r>
      <w:r w:rsidRPr="00E47B84">
        <w:rPr>
          <w:rFonts w:ascii="Times New Roman" w:hAnsi="Times New Roman"/>
          <w:sz w:val="20"/>
          <w:lang w:val="en-GB"/>
        </w:rPr>
        <w:t xml:space="preserve">: </w:t>
      </w:r>
      <w:r w:rsidR="00D77A9F" w:rsidRPr="00E47B84">
        <w:rPr>
          <w:rFonts w:ascii="Times New Roman" w:hAnsi="Times New Roman"/>
          <w:sz w:val="20"/>
          <w:lang w:val="en-GB"/>
        </w:rPr>
        <w:t xml:space="preserve">this SAP refers to </w:t>
      </w:r>
      <w:r w:rsidRPr="00E47B84">
        <w:rPr>
          <w:rFonts w:ascii="Times New Roman" w:hAnsi="Times New Roman"/>
          <w:sz w:val="20"/>
          <w:lang w:val="en-GB"/>
        </w:rPr>
        <w:t xml:space="preserve">services </w:t>
      </w:r>
      <w:r w:rsidR="00FC7BB6" w:rsidRPr="00E47B84">
        <w:rPr>
          <w:rFonts w:ascii="Times New Roman" w:hAnsi="Times New Roman"/>
          <w:sz w:val="20"/>
          <w:lang w:val="en-GB"/>
        </w:rPr>
        <w:t xml:space="preserve">also </w:t>
      </w:r>
      <w:r w:rsidRPr="00E47B84">
        <w:rPr>
          <w:rFonts w:ascii="Times New Roman" w:hAnsi="Times New Roman"/>
          <w:sz w:val="20"/>
          <w:lang w:val="en-GB"/>
        </w:rPr>
        <w:t xml:space="preserve">produced by the CU-CP and consumed by </w:t>
      </w:r>
      <w:r w:rsidR="000751A8" w:rsidRPr="00E47B84">
        <w:rPr>
          <w:rFonts w:ascii="Times New Roman" w:hAnsi="Times New Roman"/>
          <w:sz w:val="20"/>
          <w:lang w:val="en-GB"/>
        </w:rPr>
        <w:t>DUs</w:t>
      </w:r>
    </w:p>
    <w:p w14:paraId="44F89107" w14:textId="455B7803" w:rsidR="00216122" w:rsidRPr="00E47B84" w:rsidRDefault="00216122" w:rsidP="00E47B84">
      <w:pPr>
        <w:pStyle w:val="00BodyText"/>
        <w:numPr>
          <w:ilvl w:val="0"/>
          <w:numId w:val="3"/>
        </w:numPr>
        <w:tabs>
          <w:tab w:val="left" w:pos="709"/>
        </w:tabs>
        <w:spacing w:before="120" w:after="0"/>
        <w:ind w:left="714" w:hanging="357"/>
        <w:jc w:val="both"/>
        <w:rPr>
          <w:rFonts w:ascii="Times New Roman" w:hAnsi="Times New Roman"/>
          <w:sz w:val="20"/>
          <w:lang w:val="en-GB"/>
        </w:rPr>
      </w:pPr>
      <w:r w:rsidRPr="00E47B84">
        <w:rPr>
          <w:rFonts w:ascii="Times New Roman" w:hAnsi="Times New Roman"/>
          <w:sz w:val="20"/>
          <w:lang w:val="en-GB"/>
        </w:rPr>
        <w:t>Nng</w:t>
      </w:r>
      <w:r w:rsidR="009D252B" w:rsidRPr="00E47B84">
        <w:rPr>
          <w:rFonts w:ascii="Times New Roman" w:hAnsi="Times New Roman"/>
          <w:sz w:val="20"/>
          <w:lang w:val="en-GB"/>
        </w:rPr>
        <w:t>du</w:t>
      </w:r>
      <w:r w:rsidRPr="00E47B84">
        <w:rPr>
          <w:rFonts w:ascii="Times New Roman" w:hAnsi="Times New Roman"/>
          <w:sz w:val="20"/>
          <w:lang w:val="en-GB"/>
        </w:rPr>
        <w:t xml:space="preserve">: </w:t>
      </w:r>
      <w:r w:rsidR="00D77A9F" w:rsidRPr="00E47B84">
        <w:rPr>
          <w:rFonts w:ascii="Times New Roman" w:hAnsi="Times New Roman"/>
          <w:sz w:val="20"/>
          <w:lang w:val="en-GB"/>
        </w:rPr>
        <w:t xml:space="preserve">this SAP refers to </w:t>
      </w:r>
      <w:r w:rsidRPr="00E47B84">
        <w:rPr>
          <w:rFonts w:ascii="Times New Roman" w:hAnsi="Times New Roman"/>
          <w:sz w:val="20"/>
          <w:lang w:val="en-GB"/>
        </w:rPr>
        <w:t xml:space="preserve">services produced by the </w:t>
      </w:r>
      <w:r w:rsidR="009D252B" w:rsidRPr="00E47B84">
        <w:rPr>
          <w:rFonts w:ascii="Times New Roman" w:hAnsi="Times New Roman"/>
          <w:sz w:val="20"/>
          <w:lang w:val="en-GB"/>
        </w:rPr>
        <w:t xml:space="preserve">DU </w:t>
      </w:r>
      <w:r w:rsidRPr="00E47B84">
        <w:rPr>
          <w:rFonts w:ascii="Times New Roman" w:hAnsi="Times New Roman"/>
          <w:sz w:val="20"/>
          <w:lang w:val="en-GB"/>
        </w:rPr>
        <w:t>and consumed by the CU-CP</w:t>
      </w:r>
    </w:p>
    <w:p w14:paraId="12CC149D" w14:textId="5AC01726" w:rsidR="00EB2EF5" w:rsidRDefault="00EB2EF5" w:rsidP="00EB2EF5">
      <w:pPr>
        <w:pStyle w:val="Proposal"/>
        <w:tabs>
          <w:tab w:val="left" w:pos="709"/>
        </w:tabs>
        <w:spacing w:before="120" w:after="120"/>
        <w:jc w:val="center"/>
        <w:rPr>
          <w:rFonts w:ascii="Arial" w:eastAsia="Times New Roman" w:hAnsi="Arial" w:cs="Arial"/>
          <w:b w:val="0"/>
        </w:rPr>
      </w:pPr>
    </w:p>
    <w:p w14:paraId="646FBE57" w14:textId="1507A4CF" w:rsidR="00624EED" w:rsidRDefault="00712ECA" w:rsidP="00EB2EF5">
      <w:pPr>
        <w:pStyle w:val="Proposal"/>
        <w:tabs>
          <w:tab w:val="left" w:pos="709"/>
        </w:tabs>
        <w:spacing w:before="120" w:after="120"/>
        <w:jc w:val="center"/>
        <w:rPr>
          <w:rFonts w:ascii="Arial" w:eastAsia="Times New Roman" w:hAnsi="Arial" w:cs="Arial"/>
          <w:b w:val="0"/>
        </w:rPr>
      </w:pPr>
      <w:r>
        <w:rPr>
          <w:rFonts w:ascii="Arial" w:eastAsia="Times New Roman" w:hAnsi="Arial" w:cs="Arial"/>
          <w:b w:val="0"/>
          <w:noProof/>
        </w:rPr>
        <w:drawing>
          <wp:inline distT="0" distB="0" distL="0" distR="0" wp14:anchorId="36EA785D" wp14:editId="623F54BB">
            <wp:extent cx="5554980" cy="951595"/>
            <wp:effectExtent l="0" t="0" r="0" b="1270"/>
            <wp:docPr id="14966999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42425" cy="966575"/>
                    </a:xfrm>
                    <a:prstGeom prst="rect">
                      <a:avLst/>
                    </a:prstGeom>
                    <a:noFill/>
                  </pic:spPr>
                </pic:pic>
              </a:graphicData>
            </a:graphic>
          </wp:inline>
        </w:drawing>
      </w:r>
    </w:p>
    <w:p w14:paraId="32B40471" w14:textId="1526A45A" w:rsidR="00EB2EF5" w:rsidRPr="00E47B84" w:rsidRDefault="00EB2EF5" w:rsidP="00EB2EF5">
      <w:pPr>
        <w:pStyle w:val="Proposal"/>
        <w:tabs>
          <w:tab w:val="left" w:pos="709"/>
        </w:tabs>
        <w:spacing w:before="120" w:after="120"/>
        <w:jc w:val="center"/>
        <w:rPr>
          <w:rFonts w:eastAsia="Times New Roman"/>
          <w:b w:val="0"/>
        </w:rPr>
      </w:pPr>
      <w:r w:rsidRPr="00E47B84">
        <w:rPr>
          <w:rFonts w:eastAsia="Times New Roman"/>
          <w:b w:val="0"/>
        </w:rPr>
        <w:t>Figure 4 – High level scheme of SBA applied to E1</w:t>
      </w:r>
      <w:r w:rsidR="00D476D2" w:rsidRPr="00E47B84">
        <w:rPr>
          <w:rFonts w:eastAsia="Times New Roman"/>
          <w:b w:val="0"/>
        </w:rPr>
        <w:t>, Xn</w:t>
      </w:r>
      <w:r w:rsidR="00A6281C" w:rsidRPr="00E47B84">
        <w:rPr>
          <w:rFonts w:eastAsia="Times New Roman"/>
          <w:b w:val="0"/>
        </w:rPr>
        <w:t>-C</w:t>
      </w:r>
      <w:r w:rsidRPr="00E47B84">
        <w:rPr>
          <w:rFonts w:eastAsia="Times New Roman"/>
          <w:b w:val="0"/>
        </w:rPr>
        <w:t xml:space="preserve"> and F1-C interfaces</w:t>
      </w:r>
    </w:p>
    <w:p w14:paraId="4C13FC87" w14:textId="77777777" w:rsidR="00E47B84" w:rsidRDefault="00E47B84" w:rsidP="00E47B84">
      <w:pPr>
        <w:pStyle w:val="00BodyText"/>
        <w:tabs>
          <w:tab w:val="left" w:pos="9072"/>
        </w:tabs>
        <w:spacing w:after="120"/>
        <w:jc w:val="both"/>
        <w:rPr>
          <w:rFonts w:ascii="Times New Roman" w:hAnsi="Times New Roman"/>
          <w:sz w:val="20"/>
          <w:lang w:val="en-GB"/>
        </w:rPr>
      </w:pPr>
    </w:p>
    <w:p w14:paraId="4BF733F0" w14:textId="47100170" w:rsidR="00B25D8D" w:rsidRPr="00E47B84" w:rsidRDefault="00B25D8D"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t>Transitioning F1-C to a service-based interface allows CU-CP and DU components to interact via standardized, discoverable services over the common RAN Service Bus, avoiding the need for static point-to-point (P2P) configurations. In scenarios where a CU-CP manages multiple DU instances (1</w:t>
      </w:r>
      <w:r w:rsidR="00C219B0" w:rsidRPr="00E47B84">
        <w:rPr>
          <w:rFonts w:ascii="Times New Roman" w:hAnsi="Times New Roman"/>
          <w:sz w:val="20"/>
          <w:lang w:val="en-GB"/>
        </w:rPr>
        <w:t>:</w:t>
      </w:r>
      <w:r w:rsidRPr="00E47B84">
        <w:rPr>
          <w:rFonts w:ascii="Times New Roman" w:hAnsi="Times New Roman"/>
          <w:sz w:val="20"/>
          <w:lang w:val="en-GB"/>
        </w:rPr>
        <w:t>N relationship), this producer/consumer model simplifies interaction patterns, improves flexibility, and enables dynamic association between control and distributed units.</w:t>
      </w:r>
    </w:p>
    <w:p w14:paraId="6BDEA99D" w14:textId="77777777" w:rsidR="00B25D8D" w:rsidRPr="00E47B84" w:rsidRDefault="00B25D8D"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t>Instead of maintaining dedicated F1-C interfaces per DU instance, the CU-CP can dynamically discover and invoke services exposed by the available DUs. These services may include, for example, cell configuration, radio resource reporting, or scheduling-related feedback. Conversely, the CU-CP may expose services that the DU can consume, such as updated RRC configurations or policy-based instructions.</w:t>
      </w:r>
    </w:p>
    <w:p w14:paraId="09D26D67" w14:textId="77777777" w:rsidR="00B25D8D" w:rsidRPr="00E47B84" w:rsidRDefault="00B25D8D"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t>For example, in a disaggregated or cloud-native deployment, where DUs may be instantiated, scaled, or reallocated based on coverage or load requirements, the use of service-based F1-C communication allows the CU-CP to interact with new or relocated DUs without manual reconfiguration. The DU registers its services with the RAN Service Bus and becomes discoverable to the CU-CP, which can then invoke only the necessary services based on its operational context.</w:t>
      </w:r>
    </w:p>
    <w:p w14:paraId="27C18FE1" w14:textId="5D043729" w:rsidR="00B25D8D" w:rsidRPr="00E47B84" w:rsidRDefault="00B25D8D"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t>This approach eliminates the need for static F1-C bindings and enables more adaptive and automated lifecycle management of RAN nodes</w:t>
      </w:r>
      <w:r w:rsidR="008F6F68" w:rsidRPr="00E47B84">
        <w:rPr>
          <w:rFonts w:ascii="Times New Roman" w:hAnsi="Times New Roman"/>
          <w:sz w:val="20"/>
          <w:lang w:val="en-GB"/>
        </w:rPr>
        <w:t xml:space="preserve">, </w:t>
      </w:r>
      <w:r w:rsidRPr="00E47B84">
        <w:rPr>
          <w:rFonts w:ascii="Times New Roman" w:hAnsi="Times New Roman"/>
          <w:sz w:val="20"/>
          <w:lang w:val="en-GB"/>
        </w:rPr>
        <w:t>especially valuable in large-scale deployments with frequent topology changes or dynamic resource allocation strategies.</w:t>
      </w:r>
    </w:p>
    <w:p w14:paraId="0C8714EA" w14:textId="77777777" w:rsidR="00A715F3" w:rsidRDefault="00A715F3" w:rsidP="00DE12DC">
      <w:pPr>
        <w:pStyle w:val="00BodyText"/>
        <w:tabs>
          <w:tab w:val="left" w:pos="9072"/>
        </w:tabs>
        <w:spacing w:after="0"/>
        <w:jc w:val="both"/>
        <w:rPr>
          <w:rFonts w:cs="Arial"/>
          <w:b/>
          <w:bCs/>
          <w:sz w:val="20"/>
          <w:lang w:val="en-GB"/>
        </w:rPr>
      </w:pPr>
    </w:p>
    <w:p w14:paraId="7D69FB8F" w14:textId="5BF79760" w:rsidR="00B553C4" w:rsidRPr="00B553C4" w:rsidRDefault="007C2A8C" w:rsidP="00652CAD">
      <w:pPr>
        <w:pStyle w:val="Proposal"/>
        <w:tabs>
          <w:tab w:val="left" w:pos="709"/>
        </w:tabs>
        <w:spacing w:after="120"/>
        <w:jc w:val="both"/>
        <w:rPr>
          <w:rFonts w:ascii="Arial" w:eastAsia="Times New Roman" w:hAnsi="Arial" w:cs="Arial"/>
          <w:bCs/>
        </w:rPr>
      </w:pPr>
      <w:r>
        <w:rPr>
          <w:rFonts w:ascii="Arial" w:eastAsia="Times New Roman" w:hAnsi="Arial" w:cs="Arial"/>
          <w:bCs/>
        </w:rPr>
        <w:t>Final</w:t>
      </w:r>
      <w:r w:rsidR="00B553C4" w:rsidRPr="00B553C4">
        <w:rPr>
          <w:rFonts w:ascii="Arial" w:eastAsia="Times New Roman" w:hAnsi="Arial" w:cs="Arial"/>
          <w:bCs/>
        </w:rPr>
        <w:t xml:space="preserve"> remarks</w:t>
      </w:r>
    </w:p>
    <w:p w14:paraId="3264F754" w14:textId="4CAD82C5" w:rsidR="00B553C4" w:rsidRPr="00E47B84" w:rsidRDefault="00B553C4"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t xml:space="preserve">The analysis presented across the proposed scenarios highlights how the principles of the </w:t>
      </w:r>
      <w:r w:rsidR="00804D49" w:rsidRPr="00E47B84">
        <w:rPr>
          <w:rFonts w:ascii="Times New Roman" w:hAnsi="Times New Roman"/>
          <w:sz w:val="20"/>
          <w:lang w:val="en-GB"/>
        </w:rPr>
        <w:t>SBA</w:t>
      </w:r>
      <w:r w:rsidRPr="00E47B84">
        <w:rPr>
          <w:rFonts w:ascii="Times New Roman" w:hAnsi="Times New Roman"/>
          <w:sz w:val="20"/>
          <w:lang w:val="en-GB"/>
        </w:rPr>
        <w:t>, originally defined within the 5GC, can be progressively extended to different segments of the RAN architecture. This extension aims to increase modularity, enable more flexible function interaction, and support scalable deployment models.</w:t>
      </w:r>
    </w:p>
    <w:p w14:paraId="1AC7BFB4" w14:textId="56C6B05D" w:rsidR="00B553C4" w:rsidRPr="00E47B84" w:rsidRDefault="00B553C4"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t xml:space="preserve">In particular, the SBA paradigm proves especially beneficial in architectural points where services are </w:t>
      </w:r>
      <w:r w:rsidR="008A427A" w:rsidRPr="00E47B84">
        <w:rPr>
          <w:rFonts w:ascii="Times New Roman" w:hAnsi="Times New Roman"/>
          <w:sz w:val="20"/>
          <w:lang w:val="en-GB"/>
        </w:rPr>
        <w:t>dynamically</w:t>
      </w:r>
      <w:r w:rsidRPr="00E47B84">
        <w:rPr>
          <w:rFonts w:ascii="Times New Roman" w:hAnsi="Times New Roman"/>
          <w:sz w:val="20"/>
          <w:lang w:val="en-GB"/>
        </w:rPr>
        <w:t xml:space="preserve"> consumed by multiple entities</w:t>
      </w:r>
      <w:r w:rsidR="00804D49" w:rsidRPr="00E47B84">
        <w:rPr>
          <w:rFonts w:ascii="Times New Roman" w:hAnsi="Times New Roman"/>
          <w:sz w:val="20"/>
          <w:lang w:val="en-GB"/>
        </w:rPr>
        <w:t xml:space="preserve">, </w:t>
      </w:r>
      <w:r w:rsidRPr="00E47B84">
        <w:rPr>
          <w:rFonts w:ascii="Times New Roman" w:hAnsi="Times New Roman"/>
          <w:sz w:val="20"/>
          <w:lang w:val="en-GB"/>
        </w:rPr>
        <w:t>i.e., scenarios involving 1:N or N:1 relationships</w:t>
      </w:r>
      <w:r w:rsidR="00804D49" w:rsidRPr="00E47B84">
        <w:rPr>
          <w:rFonts w:ascii="Times New Roman" w:hAnsi="Times New Roman"/>
          <w:sz w:val="20"/>
          <w:lang w:val="en-GB"/>
        </w:rPr>
        <w:t xml:space="preserve">, as the ones </w:t>
      </w:r>
      <w:r w:rsidR="00045037" w:rsidRPr="00E47B84">
        <w:rPr>
          <w:rFonts w:ascii="Times New Roman" w:hAnsi="Times New Roman"/>
          <w:sz w:val="20"/>
          <w:lang w:val="en-GB"/>
        </w:rPr>
        <w:t>existing on N2, E1 and F1-C interfaces</w:t>
      </w:r>
      <w:r w:rsidR="00222103" w:rsidRPr="00E47B84">
        <w:rPr>
          <w:rFonts w:ascii="Times New Roman" w:hAnsi="Times New Roman"/>
          <w:sz w:val="20"/>
          <w:lang w:val="en-GB"/>
        </w:rPr>
        <w:t>.</w:t>
      </w:r>
    </w:p>
    <w:p w14:paraId="38577F69" w14:textId="40E90218" w:rsidR="00222103" w:rsidRPr="00F62971" w:rsidRDefault="00222103" w:rsidP="00F62971">
      <w:pPr>
        <w:overflowPunct w:val="0"/>
        <w:autoSpaceDE w:val="0"/>
        <w:autoSpaceDN w:val="0"/>
        <w:adjustRightInd w:val="0"/>
        <w:spacing w:before="120" w:after="120"/>
        <w:jc w:val="both"/>
        <w:rPr>
          <w:rFonts w:eastAsiaTheme="minorEastAsia" w:cs="Arial"/>
          <w:b/>
          <w:bCs/>
          <w:lang w:eastAsia="zh-CN"/>
        </w:rPr>
      </w:pPr>
      <w:r w:rsidRPr="00F62971">
        <w:rPr>
          <w:rFonts w:eastAsiaTheme="minorEastAsia" w:cs="Arial"/>
          <w:b/>
          <w:bCs/>
          <w:lang w:eastAsia="zh-CN"/>
        </w:rPr>
        <w:t xml:space="preserve">Observation 1: SBA approach could be beneficial </w:t>
      </w:r>
      <w:r w:rsidR="00BA11DF" w:rsidRPr="00F62971">
        <w:rPr>
          <w:rFonts w:eastAsiaTheme="minorEastAsia" w:cs="Arial"/>
          <w:b/>
          <w:bCs/>
          <w:lang w:eastAsia="zh-CN"/>
        </w:rPr>
        <w:t xml:space="preserve">to evolve </w:t>
      </w:r>
      <w:r w:rsidR="00295C11" w:rsidRPr="00F62971">
        <w:rPr>
          <w:rFonts w:eastAsiaTheme="minorEastAsia" w:cs="Arial"/>
          <w:b/>
          <w:bCs/>
          <w:lang w:eastAsia="zh-CN"/>
        </w:rPr>
        <w:t xml:space="preserve">current architecture </w:t>
      </w:r>
      <w:r w:rsidR="00B3744F" w:rsidRPr="00F62971">
        <w:rPr>
          <w:rFonts w:eastAsiaTheme="minorEastAsia" w:cs="Arial"/>
          <w:b/>
          <w:bCs/>
          <w:lang w:eastAsia="zh-CN"/>
        </w:rPr>
        <w:t>to enable higher flexibility, e.g. allowing a dynamic interaction with multiple service consumers and producers</w:t>
      </w:r>
      <w:r w:rsidR="00F62971">
        <w:rPr>
          <w:rFonts w:eastAsiaTheme="minorEastAsia" w:cs="Arial"/>
          <w:b/>
          <w:bCs/>
          <w:lang w:eastAsia="zh-CN"/>
        </w:rPr>
        <w:t>.</w:t>
      </w:r>
    </w:p>
    <w:p w14:paraId="70BA2D39" w14:textId="673772A9" w:rsidR="006E232E" w:rsidRPr="00E47B84" w:rsidRDefault="006E232E" w:rsidP="00E47B84">
      <w:pPr>
        <w:pStyle w:val="00BodyText"/>
        <w:tabs>
          <w:tab w:val="left" w:pos="9072"/>
        </w:tabs>
        <w:spacing w:after="120"/>
        <w:jc w:val="both"/>
        <w:rPr>
          <w:rFonts w:ascii="Times New Roman" w:hAnsi="Times New Roman"/>
          <w:sz w:val="20"/>
          <w:lang w:val="en-GB"/>
        </w:rPr>
      </w:pPr>
      <w:r w:rsidRPr="00E47B84">
        <w:rPr>
          <w:rFonts w:ascii="Times New Roman" w:hAnsi="Times New Roman"/>
          <w:sz w:val="20"/>
          <w:lang w:val="en-GB"/>
        </w:rPr>
        <w:t xml:space="preserve">Based on the aspects outlined above, </w:t>
      </w:r>
      <w:r w:rsidR="00D264F3" w:rsidRPr="00E47B84">
        <w:rPr>
          <w:rFonts w:ascii="Times New Roman" w:hAnsi="Times New Roman"/>
          <w:sz w:val="20"/>
          <w:lang w:val="en-GB"/>
        </w:rPr>
        <w:t xml:space="preserve">the introduction of SBA in the RAN should be considered and the alternative scenarios </w:t>
      </w:r>
      <w:r w:rsidR="0099387E" w:rsidRPr="00E47B84">
        <w:rPr>
          <w:rFonts w:ascii="Times New Roman" w:hAnsi="Times New Roman"/>
          <w:sz w:val="20"/>
          <w:lang w:val="en-GB"/>
        </w:rPr>
        <w:t xml:space="preserve">addressed </w:t>
      </w:r>
      <w:r w:rsidR="00D264F3" w:rsidRPr="00E47B84">
        <w:rPr>
          <w:rFonts w:ascii="Times New Roman" w:hAnsi="Times New Roman"/>
          <w:sz w:val="20"/>
          <w:lang w:val="en-GB"/>
        </w:rPr>
        <w:t xml:space="preserve">could be </w:t>
      </w:r>
      <w:r w:rsidR="00E107EB" w:rsidRPr="00E47B84">
        <w:rPr>
          <w:rFonts w:ascii="Times New Roman" w:hAnsi="Times New Roman"/>
          <w:sz w:val="20"/>
          <w:lang w:val="en-GB"/>
        </w:rPr>
        <w:t>taken into account</w:t>
      </w:r>
      <w:r w:rsidR="00D264F3" w:rsidRPr="00E47B84">
        <w:rPr>
          <w:rFonts w:ascii="Times New Roman" w:hAnsi="Times New Roman"/>
          <w:sz w:val="20"/>
          <w:lang w:val="en-GB"/>
        </w:rPr>
        <w:t>.</w:t>
      </w:r>
    </w:p>
    <w:p w14:paraId="716D3E18" w14:textId="50A9CECA" w:rsidR="00B553C4" w:rsidRPr="00F62971" w:rsidRDefault="00E107EB" w:rsidP="00F62971">
      <w:pPr>
        <w:overflowPunct w:val="0"/>
        <w:autoSpaceDE w:val="0"/>
        <w:autoSpaceDN w:val="0"/>
        <w:adjustRightInd w:val="0"/>
        <w:spacing w:before="120" w:after="120"/>
        <w:jc w:val="both"/>
        <w:rPr>
          <w:rFonts w:eastAsiaTheme="minorEastAsia" w:cs="Arial"/>
          <w:b/>
          <w:bCs/>
          <w:lang w:eastAsia="zh-CN"/>
        </w:rPr>
      </w:pPr>
      <w:r w:rsidRPr="00F62971">
        <w:rPr>
          <w:rFonts w:eastAsiaTheme="minorEastAsia" w:cs="Arial"/>
          <w:b/>
          <w:bCs/>
          <w:lang w:eastAsia="zh-CN"/>
        </w:rPr>
        <w:t xml:space="preserve">Proposal 1: </w:t>
      </w:r>
      <w:r w:rsidR="00660272" w:rsidRPr="00F62971">
        <w:rPr>
          <w:rFonts w:eastAsiaTheme="minorEastAsia" w:cs="Arial"/>
          <w:b/>
          <w:bCs/>
          <w:lang w:eastAsia="zh-CN"/>
        </w:rPr>
        <w:t xml:space="preserve">RAN3 to study SBA introduction in the RAN for different </w:t>
      </w:r>
      <w:r w:rsidR="00B67BC0" w:rsidRPr="00F62971">
        <w:rPr>
          <w:rFonts w:eastAsiaTheme="minorEastAsia" w:cs="Arial"/>
          <w:b/>
          <w:bCs/>
          <w:lang w:eastAsia="zh-CN"/>
        </w:rPr>
        <w:t xml:space="preserve">internal RAN </w:t>
      </w:r>
      <w:r w:rsidR="007F592D" w:rsidRPr="00F62971">
        <w:rPr>
          <w:rFonts w:eastAsiaTheme="minorEastAsia" w:cs="Arial"/>
          <w:b/>
          <w:bCs/>
          <w:lang w:eastAsia="zh-CN"/>
        </w:rPr>
        <w:t>interfaces</w:t>
      </w:r>
      <w:r w:rsidR="007942AD" w:rsidRPr="00F62971">
        <w:rPr>
          <w:rFonts w:eastAsiaTheme="minorEastAsia" w:cs="Arial"/>
          <w:b/>
          <w:bCs/>
          <w:lang w:eastAsia="zh-CN"/>
        </w:rPr>
        <w:t>.</w:t>
      </w:r>
    </w:p>
    <w:p w14:paraId="2AE46CEE" w14:textId="3FEE0DFB" w:rsidR="00A20D1F" w:rsidRPr="00F62971" w:rsidRDefault="00A91EDD" w:rsidP="00F62971">
      <w:pPr>
        <w:pStyle w:val="00BodyText"/>
        <w:tabs>
          <w:tab w:val="left" w:pos="9072"/>
        </w:tabs>
        <w:spacing w:after="120"/>
        <w:jc w:val="both"/>
        <w:rPr>
          <w:rFonts w:ascii="Times New Roman" w:hAnsi="Times New Roman"/>
          <w:sz w:val="20"/>
          <w:lang w:val="en-GB"/>
        </w:rPr>
      </w:pPr>
      <w:r w:rsidRPr="00F62971">
        <w:rPr>
          <w:rFonts w:ascii="Times New Roman" w:hAnsi="Times New Roman"/>
          <w:sz w:val="20"/>
          <w:lang w:val="en-GB"/>
        </w:rPr>
        <w:t xml:space="preserve">Notice that the evolution of RAN internal interface in an SBA approach, is </w:t>
      </w:r>
      <w:r w:rsidR="00AB4ECE" w:rsidRPr="00F62971">
        <w:rPr>
          <w:rFonts w:ascii="Times New Roman" w:hAnsi="Times New Roman"/>
          <w:sz w:val="20"/>
          <w:lang w:val="en-GB"/>
        </w:rPr>
        <w:t>compatible and extend the evolution towards SBA approach applied to RAN-CN interface</w:t>
      </w:r>
      <w:r w:rsidR="00632E8B" w:rsidRPr="00F62971">
        <w:rPr>
          <w:rFonts w:ascii="Times New Roman" w:hAnsi="Times New Roman"/>
          <w:sz w:val="20"/>
          <w:lang w:val="en-GB"/>
        </w:rPr>
        <w:t xml:space="preserve">, </w:t>
      </w:r>
      <w:r w:rsidR="008B3D04" w:rsidRPr="00F62971">
        <w:rPr>
          <w:rFonts w:ascii="Times New Roman" w:hAnsi="Times New Roman"/>
          <w:sz w:val="20"/>
          <w:lang w:val="en-GB"/>
        </w:rPr>
        <w:t>described in [4], and d</w:t>
      </w:r>
      <w:r w:rsidR="00632E8B" w:rsidRPr="00F62971">
        <w:rPr>
          <w:rFonts w:ascii="Times New Roman" w:hAnsi="Times New Roman"/>
          <w:sz w:val="20"/>
          <w:lang w:val="en-GB"/>
        </w:rPr>
        <w:t>epicted in following Figure 5</w:t>
      </w:r>
      <w:r w:rsidR="009D55CF" w:rsidRPr="00F62971">
        <w:rPr>
          <w:rFonts w:ascii="Times New Roman" w:hAnsi="Times New Roman"/>
          <w:sz w:val="20"/>
          <w:lang w:val="en-GB"/>
        </w:rPr>
        <w:t xml:space="preserve"> for sake of completeness</w:t>
      </w:r>
      <w:r w:rsidR="00A20D1F" w:rsidRPr="00F62971">
        <w:rPr>
          <w:rFonts w:ascii="Times New Roman" w:hAnsi="Times New Roman"/>
          <w:sz w:val="20"/>
          <w:lang w:val="en-GB"/>
        </w:rPr>
        <w:t>.</w:t>
      </w:r>
    </w:p>
    <w:p w14:paraId="3F2847CF" w14:textId="16894FB3" w:rsidR="00A20D1F" w:rsidRDefault="006A494C" w:rsidP="00A20D1F">
      <w:pPr>
        <w:pStyle w:val="Proposal"/>
        <w:tabs>
          <w:tab w:val="left" w:pos="709"/>
        </w:tabs>
        <w:spacing w:before="120" w:after="120"/>
        <w:jc w:val="center"/>
        <w:rPr>
          <w:rFonts w:ascii="Arial" w:eastAsia="Times New Roman" w:hAnsi="Arial" w:cs="Arial"/>
          <w:b w:val="0"/>
        </w:rPr>
      </w:pPr>
      <w:r>
        <w:rPr>
          <w:rFonts w:ascii="Arial" w:eastAsia="Times New Roman" w:hAnsi="Arial" w:cs="Arial"/>
          <w:b w:val="0"/>
          <w:noProof/>
        </w:rPr>
        <w:lastRenderedPageBreak/>
        <w:drawing>
          <wp:inline distT="0" distB="0" distL="0" distR="0" wp14:anchorId="78676D11" wp14:editId="42D2E129">
            <wp:extent cx="5331474" cy="2187445"/>
            <wp:effectExtent l="0" t="0" r="2540" b="3810"/>
            <wp:docPr id="8623342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85626" cy="2209663"/>
                    </a:xfrm>
                    <a:prstGeom prst="rect">
                      <a:avLst/>
                    </a:prstGeom>
                    <a:noFill/>
                  </pic:spPr>
                </pic:pic>
              </a:graphicData>
            </a:graphic>
          </wp:inline>
        </w:drawing>
      </w:r>
    </w:p>
    <w:p w14:paraId="0757AE8A" w14:textId="35357C4A" w:rsidR="00A20D1F" w:rsidRPr="00F62971" w:rsidRDefault="00A20D1F" w:rsidP="00A20D1F">
      <w:pPr>
        <w:pStyle w:val="Proposal"/>
        <w:tabs>
          <w:tab w:val="left" w:pos="709"/>
        </w:tabs>
        <w:spacing w:before="120" w:after="120"/>
        <w:jc w:val="center"/>
        <w:rPr>
          <w:rFonts w:eastAsia="Times New Roman"/>
          <w:b w:val="0"/>
        </w:rPr>
      </w:pPr>
      <w:r w:rsidRPr="00F62971">
        <w:rPr>
          <w:rFonts w:eastAsia="Times New Roman"/>
          <w:b w:val="0"/>
        </w:rPr>
        <w:t>Figure 5 – High level scheme of SBA applied to N2, E1</w:t>
      </w:r>
      <w:r w:rsidR="00A6281C" w:rsidRPr="00F62971">
        <w:rPr>
          <w:rFonts w:eastAsia="Times New Roman"/>
          <w:b w:val="0"/>
        </w:rPr>
        <w:t>, Xn-C</w:t>
      </w:r>
      <w:r w:rsidRPr="00F62971">
        <w:rPr>
          <w:rFonts w:eastAsia="Times New Roman"/>
          <w:b w:val="0"/>
        </w:rPr>
        <w:t xml:space="preserve"> and F1-C interfaces</w:t>
      </w:r>
    </w:p>
    <w:p w14:paraId="0D110258" w14:textId="77777777" w:rsidR="00CD4C7B" w:rsidRDefault="00972FD7" w:rsidP="00CD4C7B">
      <w:pPr>
        <w:pStyle w:val="Heading1"/>
      </w:pPr>
      <w:r>
        <w:t>3</w:t>
      </w:r>
      <w:r w:rsidR="00CD4C7B">
        <w:tab/>
      </w:r>
      <w:r>
        <w:t>Conclusion</w:t>
      </w:r>
    </w:p>
    <w:p w14:paraId="6093981F" w14:textId="24B9EFF3" w:rsidR="00CD4C7B" w:rsidRPr="00F62971" w:rsidRDefault="004512B5" w:rsidP="00F62971">
      <w:pPr>
        <w:pStyle w:val="00BodyText"/>
        <w:tabs>
          <w:tab w:val="left" w:pos="9072"/>
        </w:tabs>
        <w:spacing w:after="120"/>
        <w:jc w:val="both"/>
        <w:rPr>
          <w:rFonts w:ascii="Times New Roman" w:hAnsi="Times New Roman"/>
          <w:sz w:val="20"/>
          <w:lang w:val="en-GB"/>
        </w:rPr>
      </w:pPr>
      <w:r w:rsidRPr="00F62971">
        <w:rPr>
          <w:rFonts w:ascii="Times New Roman" w:hAnsi="Times New Roman"/>
          <w:sz w:val="20"/>
          <w:lang w:val="en-GB"/>
        </w:rPr>
        <w:t xml:space="preserve">In this paper we </w:t>
      </w:r>
      <w:r w:rsidR="007F0082" w:rsidRPr="00F62971">
        <w:rPr>
          <w:rFonts w:ascii="Times New Roman" w:hAnsi="Times New Roman"/>
          <w:sz w:val="20"/>
          <w:lang w:val="en-GB"/>
        </w:rPr>
        <w:t xml:space="preserve">discuss </w:t>
      </w:r>
      <w:r w:rsidR="0042702C" w:rsidRPr="00F62971">
        <w:rPr>
          <w:rFonts w:ascii="Times New Roman" w:hAnsi="Times New Roman"/>
          <w:sz w:val="20"/>
          <w:lang w:val="en-GB"/>
        </w:rPr>
        <w:t>different scenarios of</w:t>
      </w:r>
      <w:r w:rsidR="002B1EAD" w:rsidRPr="00F62971">
        <w:rPr>
          <w:rFonts w:ascii="Times New Roman" w:hAnsi="Times New Roman"/>
          <w:sz w:val="20"/>
          <w:lang w:val="en-GB"/>
        </w:rPr>
        <w:t xml:space="preserve"> SBA </w:t>
      </w:r>
      <w:r w:rsidR="0042702C" w:rsidRPr="00F62971">
        <w:rPr>
          <w:rFonts w:ascii="Times New Roman" w:hAnsi="Times New Roman"/>
          <w:sz w:val="20"/>
          <w:lang w:val="en-GB"/>
        </w:rPr>
        <w:t xml:space="preserve">introduction </w:t>
      </w:r>
      <w:r w:rsidR="002B1EAD" w:rsidRPr="00F62971">
        <w:rPr>
          <w:rFonts w:ascii="Times New Roman" w:hAnsi="Times New Roman"/>
          <w:sz w:val="20"/>
          <w:lang w:val="en-GB"/>
        </w:rPr>
        <w:t>i</w:t>
      </w:r>
      <w:r w:rsidR="0042702C" w:rsidRPr="00F62971">
        <w:rPr>
          <w:rFonts w:ascii="Times New Roman" w:hAnsi="Times New Roman"/>
          <w:sz w:val="20"/>
          <w:lang w:val="en-GB"/>
        </w:rPr>
        <w:t>n the RAN</w:t>
      </w:r>
      <w:r w:rsidR="00A75BFA" w:rsidRPr="00F62971">
        <w:rPr>
          <w:rFonts w:ascii="Times New Roman" w:hAnsi="Times New Roman"/>
          <w:sz w:val="20"/>
          <w:lang w:val="en-GB"/>
        </w:rPr>
        <w:t xml:space="preserve"> and the following </w:t>
      </w:r>
      <w:r w:rsidR="002B1EAD" w:rsidRPr="00F62971">
        <w:rPr>
          <w:rFonts w:ascii="Times New Roman" w:hAnsi="Times New Roman"/>
          <w:sz w:val="20"/>
          <w:lang w:val="en-GB"/>
        </w:rPr>
        <w:t xml:space="preserve">is </w:t>
      </w:r>
      <w:r w:rsidR="00A75BFA" w:rsidRPr="00F62971">
        <w:rPr>
          <w:rFonts w:ascii="Times New Roman" w:hAnsi="Times New Roman"/>
          <w:sz w:val="20"/>
          <w:lang w:val="en-GB"/>
        </w:rPr>
        <w:t>propos</w:t>
      </w:r>
      <w:r w:rsidR="002B1EAD" w:rsidRPr="00F62971">
        <w:rPr>
          <w:rFonts w:ascii="Times New Roman" w:hAnsi="Times New Roman"/>
          <w:sz w:val="20"/>
          <w:lang w:val="en-GB"/>
        </w:rPr>
        <w:t>ed</w:t>
      </w:r>
      <w:r w:rsidRPr="00F62971">
        <w:rPr>
          <w:rFonts w:ascii="Times New Roman" w:hAnsi="Times New Roman"/>
          <w:sz w:val="20"/>
          <w:lang w:val="en-GB"/>
        </w:rPr>
        <w:t>:</w:t>
      </w:r>
    </w:p>
    <w:p w14:paraId="522A9BA4" w14:textId="4975AF01" w:rsidR="0062177B" w:rsidRPr="00F62971" w:rsidRDefault="002B1EAD" w:rsidP="002B1EAD">
      <w:pPr>
        <w:pStyle w:val="Proposal"/>
        <w:tabs>
          <w:tab w:val="left" w:pos="709"/>
        </w:tabs>
        <w:spacing w:before="120" w:after="120"/>
        <w:jc w:val="both"/>
        <w:rPr>
          <w:rFonts w:eastAsia="Times New Roman"/>
          <w:b w:val="0"/>
        </w:rPr>
      </w:pPr>
      <w:bookmarkStart w:id="1" w:name="_Ref75086397"/>
      <w:r w:rsidRPr="00F62971">
        <w:rPr>
          <w:rFonts w:eastAsia="Times New Roman"/>
          <w:bCs/>
        </w:rPr>
        <w:t xml:space="preserve">Proposal 1: RAN3 to study SBA introduction in the RAN for different </w:t>
      </w:r>
      <w:r w:rsidR="00A47668" w:rsidRPr="00F62971">
        <w:rPr>
          <w:rFonts w:eastAsia="Times New Roman"/>
          <w:bCs/>
        </w:rPr>
        <w:t xml:space="preserve">internal RAN </w:t>
      </w:r>
      <w:r w:rsidRPr="00F62971">
        <w:rPr>
          <w:rFonts w:eastAsia="Times New Roman"/>
          <w:bCs/>
        </w:rPr>
        <w:t>interfaces</w:t>
      </w:r>
      <w:r w:rsidR="007942AD" w:rsidRPr="00F62971">
        <w:rPr>
          <w:rFonts w:eastAsia="Times New Roman"/>
          <w:bCs/>
        </w:rPr>
        <w:t>.</w:t>
      </w:r>
      <w:r w:rsidRPr="00F62971">
        <w:rPr>
          <w:rFonts w:eastAsia="Times New Roman"/>
          <w:bCs/>
        </w:rPr>
        <w:t xml:space="preserve"> </w:t>
      </w:r>
      <w:r w:rsidR="0062177B" w:rsidRPr="005D6407">
        <w:rPr>
          <w:b w:val="0"/>
          <w:highlight w:val="yellow"/>
        </w:rPr>
        <w:fldChar w:fldCharType="begin"/>
      </w:r>
      <w:r w:rsidR="0062177B" w:rsidRPr="00F62971">
        <w:rPr>
          <w:b w:val="0"/>
          <w:highlight w:val="yellow"/>
        </w:rPr>
        <w:instrText xml:space="preserve"> TOC \n \p " " \t "Proposal" </w:instrText>
      </w:r>
      <w:r w:rsidR="0062177B" w:rsidRPr="005D6407">
        <w:rPr>
          <w:b w:val="0"/>
          <w:highlight w:val="yellow"/>
        </w:rPr>
        <w:fldChar w:fldCharType="separate"/>
      </w:r>
    </w:p>
    <w:p w14:paraId="47A1B48D" w14:textId="77777777" w:rsidR="0062177B" w:rsidRPr="000E0A8A" w:rsidRDefault="0062177B" w:rsidP="0062177B">
      <w:pPr>
        <w:pStyle w:val="Heading1"/>
        <w:rPr>
          <w:lang w:val="en-US"/>
        </w:rPr>
      </w:pPr>
      <w:r w:rsidRPr="005D6407">
        <w:rPr>
          <w:highlight w:val="yellow"/>
          <w:lang w:eastAsia="zh-CN"/>
        </w:rPr>
        <w:fldChar w:fldCharType="end"/>
      </w:r>
      <w:r w:rsidRPr="000E0A8A">
        <w:rPr>
          <w:lang w:val="en-US"/>
        </w:rPr>
        <w:t>4</w:t>
      </w:r>
      <w:r w:rsidRPr="000E0A8A">
        <w:rPr>
          <w:lang w:val="en-US"/>
        </w:rPr>
        <w:tab/>
        <w:t>References</w:t>
      </w:r>
    </w:p>
    <w:p w14:paraId="3DAACA22" w14:textId="6C9840D6" w:rsidR="000D0A44" w:rsidRDefault="000D0A44" w:rsidP="009F5689">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[1]</w:t>
      </w:r>
      <w:r w:rsidR="00944657">
        <w:rPr>
          <w:rFonts w:ascii="Arial" w:hAnsi="Arial" w:cs="Arial"/>
          <w:lang w:val="en-US"/>
        </w:rPr>
        <w:tab/>
        <w:t>R3-25</w:t>
      </w:r>
      <w:r w:rsidR="008D699F">
        <w:rPr>
          <w:rFonts w:ascii="Arial" w:hAnsi="Arial" w:cs="Arial"/>
          <w:lang w:val="en-US"/>
        </w:rPr>
        <w:t>6544</w:t>
      </w:r>
      <w:r w:rsidR="00944657">
        <w:rPr>
          <w:rFonts w:ascii="Arial" w:hAnsi="Arial" w:cs="Arial"/>
          <w:lang w:val="en-US"/>
        </w:rPr>
        <w:t xml:space="preserve">, </w:t>
      </w:r>
      <w:r w:rsidR="00F2286C" w:rsidRPr="00F2286C">
        <w:rPr>
          <w:rFonts w:ascii="Arial" w:hAnsi="Arial" w:cs="Arial"/>
          <w:lang w:val="en-US"/>
        </w:rPr>
        <w:t>Discussion on Feasibility of RAN Service Based Architecture</w:t>
      </w:r>
      <w:r w:rsidR="00F2286C">
        <w:rPr>
          <w:rFonts w:ascii="Arial" w:hAnsi="Arial" w:cs="Arial"/>
          <w:lang w:val="en-US"/>
        </w:rPr>
        <w:t xml:space="preserve"> (FiberCop</w:t>
      </w:r>
      <w:r w:rsidR="008D699F">
        <w:rPr>
          <w:rFonts w:ascii="Arial" w:hAnsi="Arial" w:cs="Arial"/>
          <w:lang w:val="en-US"/>
        </w:rPr>
        <w:t xml:space="preserve">, </w:t>
      </w:r>
      <w:r w:rsidR="00C23811">
        <w:rPr>
          <w:rFonts w:ascii="Arial" w:hAnsi="Arial" w:cs="Arial"/>
          <w:lang w:val="en-US"/>
        </w:rPr>
        <w:t xml:space="preserve">Jio Platforms, </w:t>
      </w:r>
      <w:r w:rsidR="008D699F">
        <w:rPr>
          <w:rFonts w:ascii="Arial" w:hAnsi="Arial" w:cs="Arial"/>
          <w:lang w:val="en-US"/>
        </w:rPr>
        <w:t>KT Corp., Qualcomm Inc.</w:t>
      </w:r>
      <w:r w:rsidR="00C23811">
        <w:rPr>
          <w:rFonts w:ascii="Arial" w:hAnsi="Arial" w:cs="Arial"/>
          <w:lang w:val="en-US"/>
        </w:rPr>
        <w:t>, Telstra</w:t>
      </w:r>
      <w:r w:rsidR="00F2286C">
        <w:rPr>
          <w:rFonts w:ascii="Arial" w:hAnsi="Arial" w:cs="Arial"/>
          <w:lang w:val="en-US"/>
        </w:rPr>
        <w:t>)</w:t>
      </w:r>
    </w:p>
    <w:p w14:paraId="499F1BEC" w14:textId="6B34531D" w:rsidR="005006D8" w:rsidRDefault="003B1759" w:rsidP="009F5689">
      <w:pPr>
        <w:overflowPunct w:val="0"/>
        <w:autoSpaceDE w:val="0"/>
        <w:autoSpaceDN w:val="0"/>
        <w:adjustRightInd w:val="0"/>
        <w:ind w:left="567" w:hanging="567"/>
        <w:textAlignment w:val="baseline"/>
      </w:pPr>
      <w:r w:rsidRPr="000E0A8A">
        <w:rPr>
          <w:rFonts w:ascii="Arial" w:hAnsi="Arial" w:cs="Arial"/>
          <w:lang w:val="en-US"/>
        </w:rPr>
        <w:t>[</w:t>
      </w:r>
      <w:r w:rsidR="000D0A44">
        <w:rPr>
          <w:rFonts w:ascii="Arial" w:hAnsi="Arial" w:cs="Arial"/>
          <w:lang w:val="en-US"/>
        </w:rPr>
        <w:t>2</w:t>
      </w:r>
      <w:r w:rsidRPr="000E0A8A">
        <w:rPr>
          <w:rFonts w:ascii="Arial" w:hAnsi="Arial" w:cs="Arial"/>
          <w:lang w:val="en-US"/>
        </w:rPr>
        <w:t>]</w:t>
      </w:r>
      <w:r w:rsidR="00AF78D5" w:rsidRPr="000E0A8A">
        <w:rPr>
          <w:rFonts w:ascii="Arial" w:hAnsi="Arial" w:cs="Arial"/>
          <w:lang w:val="en-US"/>
        </w:rPr>
        <w:tab/>
      </w:r>
      <w:hyperlink r:id="rId11" w:history="1">
        <w:r w:rsidR="000E0A8A" w:rsidRPr="000E0A8A">
          <w:rPr>
            <w:rStyle w:val="Hyperlink"/>
            <w:rFonts w:ascii="Arial" w:hAnsi="Arial" w:cs="Arial"/>
            <w:lang w:val="en-US"/>
          </w:rPr>
          <w:t>https://sns-origami.eu/</w:t>
        </w:r>
      </w:hyperlink>
    </w:p>
    <w:p w14:paraId="35D67931" w14:textId="0C5A847A" w:rsidR="008E5B01" w:rsidRDefault="008E5B01" w:rsidP="009F5689">
      <w:pPr>
        <w:overflowPunct w:val="0"/>
        <w:autoSpaceDE w:val="0"/>
        <w:autoSpaceDN w:val="0"/>
        <w:adjustRightInd w:val="0"/>
        <w:ind w:left="567" w:hanging="567"/>
        <w:textAlignment w:val="baseline"/>
        <w:rPr>
          <w:rFonts w:ascii="Arial" w:hAnsi="Arial" w:cs="Arial"/>
        </w:rPr>
      </w:pPr>
      <w:r w:rsidRPr="0007225B">
        <w:rPr>
          <w:rFonts w:ascii="Arial" w:hAnsi="Arial" w:cs="Arial"/>
          <w:lang w:val="en-US"/>
        </w:rPr>
        <w:t>[3]</w:t>
      </w:r>
      <w:r w:rsidRPr="0007225B">
        <w:rPr>
          <w:rFonts w:ascii="Arial" w:hAnsi="Arial" w:cs="Arial"/>
          <w:lang w:val="en-US"/>
        </w:rPr>
        <w:tab/>
      </w:r>
      <w:r w:rsidR="0007225B" w:rsidRPr="0007225B">
        <w:rPr>
          <w:rFonts w:ascii="Arial" w:hAnsi="Arial" w:cs="Arial"/>
          <w:lang w:val="en-US"/>
        </w:rPr>
        <w:t xml:space="preserve">3GPP </w:t>
      </w:r>
      <w:r w:rsidRPr="0007225B">
        <w:rPr>
          <w:rFonts w:ascii="Arial" w:hAnsi="Arial" w:cs="Arial"/>
          <w:lang w:val="en-US"/>
        </w:rPr>
        <w:t>TR 38.914</w:t>
      </w:r>
      <w:r w:rsidR="0007225B" w:rsidRPr="0007225B">
        <w:rPr>
          <w:rFonts w:ascii="Arial" w:hAnsi="Arial" w:cs="Arial"/>
          <w:lang w:val="en-US"/>
        </w:rPr>
        <w:t xml:space="preserve">, </w:t>
      </w:r>
      <w:r w:rsidR="00401002">
        <w:rPr>
          <w:rFonts w:ascii="Arial" w:hAnsi="Arial" w:cs="Arial"/>
          <w:lang w:val="en-US"/>
        </w:rPr>
        <w:t>“</w:t>
      </w:r>
      <w:r w:rsidR="00401002" w:rsidRPr="00401002">
        <w:rPr>
          <w:rFonts w:ascii="Arial" w:hAnsi="Arial" w:cs="Arial"/>
        </w:rPr>
        <w:t>Study on 6G Scenarios and requirements</w:t>
      </w:r>
      <w:r w:rsidR="00401002">
        <w:rPr>
          <w:rFonts w:ascii="Arial" w:hAnsi="Arial" w:cs="Arial"/>
        </w:rPr>
        <w:t>” (Rel-20)</w:t>
      </w:r>
      <w:bookmarkEnd w:id="1"/>
    </w:p>
    <w:p w14:paraId="37FB5300" w14:textId="01972057" w:rsidR="008627A2" w:rsidRPr="004219BE" w:rsidRDefault="008627A2" w:rsidP="009F5689">
      <w:pPr>
        <w:overflowPunct w:val="0"/>
        <w:autoSpaceDE w:val="0"/>
        <w:autoSpaceDN w:val="0"/>
        <w:adjustRightInd w:val="0"/>
        <w:ind w:left="567" w:hanging="567"/>
        <w:textAlignment w:val="baseline"/>
        <w:rPr>
          <w:rFonts w:ascii="Arial" w:hAnsi="Arial" w:cs="Arial"/>
          <w:lang w:val="en-US"/>
        </w:rPr>
      </w:pPr>
      <w:r>
        <w:rPr>
          <w:rFonts w:ascii="Arial" w:hAnsi="Arial" w:cs="Arial"/>
        </w:rPr>
        <w:t>[4]</w:t>
      </w:r>
      <w:r>
        <w:rPr>
          <w:rFonts w:ascii="Arial" w:hAnsi="Arial" w:cs="Arial"/>
        </w:rPr>
        <w:tab/>
      </w:r>
      <w:r w:rsidR="0060428C">
        <w:rPr>
          <w:rFonts w:ascii="Arial" w:hAnsi="Arial" w:cs="Arial"/>
        </w:rPr>
        <w:t>R3-25</w:t>
      </w:r>
      <w:r w:rsidR="00D320CC">
        <w:rPr>
          <w:rFonts w:ascii="Arial" w:hAnsi="Arial" w:cs="Arial"/>
        </w:rPr>
        <w:t>6719</w:t>
      </w:r>
      <w:r w:rsidR="0060428C">
        <w:rPr>
          <w:rFonts w:ascii="Arial" w:hAnsi="Arial" w:cs="Arial"/>
        </w:rPr>
        <w:t xml:space="preserve">, </w:t>
      </w:r>
      <w:r w:rsidR="000F2D74" w:rsidRPr="000F2D74">
        <w:rPr>
          <w:rFonts w:ascii="Arial" w:hAnsi="Arial" w:cs="Arial"/>
        </w:rPr>
        <w:t>Discussion on possible RAN-CN evolution towards Service Based Architecture</w:t>
      </w:r>
      <w:r w:rsidR="000F2D74">
        <w:rPr>
          <w:rFonts w:ascii="Arial" w:hAnsi="Arial" w:cs="Arial"/>
        </w:rPr>
        <w:t xml:space="preserve"> (FiberCop</w:t>
      </w:r>
      <w:r w:rsidR="00D320CC">
        <w:rPr>
          <w:rFonts w:ascii="Arial" w:hAnsi="Arial" w:cs="Arial"/>
        </w:rPr>
        <w:t xml:space="preserve">, </w:t>
      </w:r>
      <w:r w:rsidR="00E07178">
        <w:rPr>
          <w:rFonts w:ascii="Arial" w:hAnsi="Arial" w:cs="Arial"/>
        </w:rPr>
        <w:t xml:space="preserve">Jio </w:t>
      </w:r>
      <w:r w:rsidR="006C5A9D">
        <w:rPr>
          <w:rFonts w:ascii="Arial" w:hAnsi="Arial" w:cs="Arial"/>
        </w:rPr>
        <w:t>P</w:t>
      </w:r>
      <w:r w:rsidR="00E07178">
        <w:rPr>
          <w:rFonts w:ascii="Arial" w:hAnsi="Arial" w:cs="Arial"/>
        </w:rPr>
        <w:t xml:space="preserve">latforms, </w:t>
      </w:r>
      <w:r w:rsidR="00D320CC">
        <w:rPr>
          <w:rFonts w:ascii="Arial" w:hAnsi="Arial" w:cs="Arial"/>
        </w:rPr>
        <w:t>KT Corp., Qualcomm Inc.</w:t>
      </w:r>
      <w:r w:rsidR="00C23811">
        <w:rPr>
          <w:rFonts w:ascii="Arial" w:hAnsi="Arial" w:cs="Arial"/>
        </w:rPr>
        <w:t>, Telstra</w:t>
      </w:r>
      <w:r w:rsidR="000F2D74">
        <w:rPr>
          <w:rFonts w:ascii="Arial" w:hAnsi="Arial" w:cs="Arial"/>
        </w:rPr>
        <w:t>)</w:t>
      </w:r>
    </w:p>
    <w:sectPr w:rsidR="008627A2" w:rsidRPr="004219BE">
      <w:footerReference w:type="even"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C5476" w14:textId="77777777" w:rsidR="0083340C" w:rsidRDefault="0083340C">
      <w:r>
        <w:separator/>
      </w:r>
    </w:p>
  </w:endnote>
  <w:endnote w:type="continuationSeparator" w:id="0">
    <w:p w14:paraId="395C7C0A" w14:textId="77777777" w:rsidR="0083340C" w:rsidRDefault="0083340C">
      <w:r>
        <w:continuationSeparator/>
      </w:r>
    </w:p>
  </w:endnote>
  <w:endnote w:type="continuationNotice" w:id="1">
    <w:p w14:paraId="666F7C38" w14:textId="77777777" w:rsidR="0083340C" w:rsidRDefault="008334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12BF" w14:textId="653A9569" w:rsidR="00F92B06" w:rsidRDefault="00F92B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BAB6" w14:textId="4DA0DCF1" w:rsidR="00F92B06" w:rsidRDefault="00F92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FB44E" w14:textId="77777777" w:rsidR="0083340C" w:rsidRDefault="0083340C">
      <w:r>
        <w:separator/>
      </w:r>
    </w:p>
  </w:footnote>
  <w:footnote w:type="continuationSeparator" w:id="0">
    <w:p w14:paraId="721D02F8" w14:textId="77777777" w:rsidR="0083340C" w:rsidRDefault="0083340C">
      <w:r>
        <w:continuationSeparator/>
      </w:r>
    </w:p>
  </w:footnote>
  <w:footnote w:type="continuationNotice" w:id="1">
    <w:p w14:paraId="6F18F16D" w14:textId="77777777" w:rsidR="0083340C" w:rsidRDefault="008334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 w15:restartNumberingAfterBreak="0">
    <w:nsid w:val="4B6A5690"/>
    <w:multiLevelType w:val="hybridMultilevel"/>
    <w:tmpl w:val="4AA06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CDC6321"/>
    <w:multiLevelType w:val="hybridMultilevel"/>
    <w:tmpl w:val="8D36F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B86963"/>
    <w:multiLevelType w:val="hybridMultilevel"/>
    <w:tmpl w:val="B17EC5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B836903"/>
    <w:multiLevelType w:val="hybridMultilevel"/>
    <w:tmpl w:val="A992B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2211480">
    <w:abstractNumId w:val="0"/>
  </w:num>
  <w:num w:numId="2" w16cid:durableId="403458801">
    <w:abstractNumId w:val="2"/>
  </w:num>
  <w:num w:numId="3" w16cid:durableId="1504586890">
    <w:abstractNumId w:val="4"/>
  </w:num>
  <w:num w:numId="4" w16cid:durableId="1627542835">
    <w:abstractNumId w:val="3"/>
  </w:num>
  <w:num w:numId="5" w16cid:durableId="67404265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74"/>
    <w:rsid w:val="00004159"/>
    <w:rsid w:val="00005B2F"/>
    <w:rsid w:val="000061B4"/>
    <w:rsid w:val="00011A64"/>
    <w:rsid w:val="00012AF8"/>
    <w:rsid w:val="00012F99"/>
    <w:rsid w:val="0001495C"/>
    <w:rsid w:val="00017BB2"/>
    <w:rsid w:val="0002093A"/>
    <w:rsid w:val="00020B93"/>
    <w:rsid w:val="00024635"/>
    <w:rsid w:val="00027E60"/>
    <w:rsid w:val="00030291"/>
    <w:rsid w:val="00030DA5"/>
    <w:rsid w:val="00033397"/>
    <w:rsid w:val="000342C7"/>
    <w:rsid w:val="00036A06"/>
    <w:rsid w:val="00036C4E"/>
    <w:rsid w:val="00040095"/>
    <w:rsid w:val="00040306"/>
    <w:rsid w:val="000409B7"/>
    <w:rsid w:val="00045037"/>
    <w:rsid w:val="00046A3A"/>
    <w:rsid w:val="00047E7D"/>
    <w:rsid w:val="00050B17"/>
    <w:rsid w:val="00054567"/>
    <w:rsid w:val="0005563E"/>
    <w:rsid w:val="00055760"/>
    <w:rsid w:val="00056A6E"/>
    <w:rsid w:val="00057777"/>
    <w:rsid w:val="0006188C"/>
    <w:rsid w:val="000656BA"/>
    <w:rsid w:val="00065B77"/>
    <w:rsid w:val="0007204D"/>
    <w:rsid w:val="0007225B"/>
    <w:rsid w:val="00073143"/>
    <w:rsid w:val="000751A8"/>
    <w:rsid w:val="0007585C"/>
    <w:rsid w:val="00076387"/>
    <w:rsid w:val="00080512"/>
    <w:rsid w:val="00083F0D"/>
    <w:rsid w:val="000858F4"/>
    <w:rsid w:val="00092312"/>
    <w:rsid w:val="000A002C"/>
    <w:rsid w:val="000A245B"/>
    <w:rsid w:val="000A3745"/>
    <w:rsid w:val="000A3911"/>
    <w:rsid w:val="000A55F1"/>
    <w:rsid w:val="000A6064"/>
    <w:rsid w:val="000A63AB"/>
    <w:rsid w:val="000B3B21"/>
    <w:rsid w:val="000B7A61"/>
    <w:rsid w:val="000B7BCF"/>
    <w:rsid w:val="000C05E4"/>
    <w:rsid w:val="000C23DE"/>
    <w:rsid w:val="000C2F70"/>
    <w:rsid w:val="000C3CBB"/>
    <w:rsid w:val="000C4CF7"/>
    <w:rsid w:val="000C556D"/>
    <w:rsid w:val="000C5D4C"/>
    <w:rsid w:val="000C5FB8"/>
    <w:rsid w:val="000D0A44"/>
    <w:rsid w:val="000D0D95"/>
    <w:rsid w:val="000D26E4"/>
    <w:rsid w:val="000D376D"/>
    <w:rsid w:val="000D44D6"/>
    <w:rsid w:val="000D4DE6"/>
    <w:rsid w:val="000D4EB6"/>
    <w:rsid w:val="000D5432"/>
    <w:rsid w:val="000D58AB"/>
    <w:rsid w:val="000D6A6D"/>
    <w:rsid w:val="000E0A8A"/>
    <w:rsid w:val="000E170E"/>
    <w:rsid w:val="000E2B02"/>
    <w:rsid w:val="000E79F6"/>
    <w:rsid w:val="000E7FAF"/>
    <w:rsid w:val="000F0C52"/>
    <w:rsid w:val="000F119E"/>
    <w:rsid w:val="000F1F4F"/>
    <w:rsid w:val="000F2D74"/>
    <w:rsid w:val="000F5512"/>
    <w:rsid w:val="000F69E7"/>
    <w:rsid w:val="0010159F"/>
    <w:rsid w:val="0010331A"/>
    <w:rsid w:val="00103E20"/>
    <w:rsid w:val="00104872"/>
    <w:rsid w:val="001060CA"/>
    <w:rsid w:val="00106110"/>
    <w:rsid w:val="00106D6B"/>
    <w:rsid w:val="001075B7"/>
    <w:rsid w:val="0011002A"/>
    <w:rsid w:val="00110FCE"/>
    <w:rsid w:val="00112818"/>
    <w:rsid w:val="00114992"/>
    <w:rsid w:val="00114A67"/>
    <w:rsid w:val="0011739B"/>
    <w:rsid w:val="00117F3C"/>
    <w:rsid w:val="00121372"/>
    <w:rsid w:val="00127BF5"/>
    <w:rsid w:val="00132C21"/>
    <w:rsid w:val="001370F2"/>
    <w:rsid w:val="00141A3D"/>
    <w:rsid w:val="00142EB3"/>
    <w:rsid w:val="00145695"/>
    <w:rsid w:val="0014613E"/>
    <w:rsid w:val="001471CF"/>
    <w:rsid w:val="001549DD"/>
    <w:rsid w:val="001550D6"/>
    <w:rsid w:val="00157557"/>
    <w:rsid w:val="001620F3"/>
    <w:rsid w:val="00165E20"/>
    <w:rsid w:val="0017035B"/>
    <w:rsid w:val="001731DC"/>
    <w:rsid w:val="0017573D"/>
    <w:rsid w:val="00177D17"/>
    <w:rsid w:val="001821FE"/>
    <w:rsid w:val="00185902"/>
    <w:rsid w:val="00187E1D"/>
    <w:rsid w:val="00191D2F"/>
    <w:rsid w:val="00192FD5"/>
    <w:rsid w:val="00194CD0"/>
    <w:rsid w:val="00197C35"/>
    <w:rsid w:val="00197E21"/>
    <w:rsid w:val="001A1169"/>
    <w:rsid w:val="001A3F0D"/>
    <w:rsid w:val="001A4A66"/>
    <w:rsid w:val="001B08B3"/>
    <w:rsid w:val="001B0A77"/>
    <w:rsid w:val="001B1753"/>
    <w:rsid w:val="001B265E"/>
    <w:rsid w:val="001B52CC"/>
    <w:rsid w:val="001B7208"/>
    <w:rsid w:val="001C0AE2"/>
    <w:rsid w:val="001C4281"/>
    <w:rsid w:val="001C4CC7"/>
    <w:rsid w:val="001C7F75"/>
    <w:rsid w:val="001D0D3F"/>
    <w:rsid w:val="001D1588"/>
    <w:rsid w:val="001E0B45"/>
    <w:rsid w:val="001E31E1"/>
    <w:rsid w:val="001E39D1"/>
    <w:rsid w:val="001E61BE"/>
    <w:rsid w:val="001F168B"/>
    <w:rsid w:val="001F1E44"/>
    <w:rsid w:val="001F1F62"/>
    <w:rsid w:val="001F3973"/>
    <w:rsid w:val="001F3A0E"/>
    <w:rsid w:val="001F429A"/>
    <w:rsid w:val="001F467E"/>
    <w:rsid w:val="001F6C3C"/>
    <w:rsid w:val="001F70B7"/>
    <w:rsid w:val="00200297"/>
    <w:rsid w:val="00200BF2"/>
    <w:rsid w:val="00200F4A"/>
    <w:rsid w:val="00204301"/>
    <w:rsid w:val="002043B8"/>
    <w:rsid w:val="002068A3"/>
    <w:rsid w:val="00210873"/>
    <w:rsid w:val="00210A5E"/>
    <w:rsid w:val="0021115A"/>
    <w:rsid w:val="00213A2C"/>
    <w:rsid w:val="002154D6"/>
    <w:rsid w:val="00215CCC"/>
    <w:rsid w:val="00216122"/>
    <w:rsid w:val="00222103"/>
    <w:rsid w:val="0022499F"/>
    <w:rsid w:val="0022524F"/>
    <w:rsid w:val="00225F6D"/>
    <w:rsid w:val="0022606D"/>
    <w:rsid w:val="00227EA6"/>
    <w:rsid w:val="002305DD"/>
    <w:rsid w:val="00237174"/>
    <w:rsid w:val="00241500"/>
    <w:rsid w:val="00242C2A"/>
    <w:rsid w:val="002436BA"/>
    <w:rsid w:val="00243BC7"/>
    <w:rsid w:val="0024525F"/>
    <w:rsid w:val="00245EDC"/>
    <w:rsid w:val="00246AE8"/>
    <w:rsid w:val="00247EC8"/>
    <w:rsid w:val="002511AF"/>
    <w:rsid w:val="0025372F"/>
    <w:rsid w:val="00253938"/>
    <w:rsid w:val="002553C2"/>
    <w:rsid w:val="00255B21"/>
    <w:rsid w:val="002613E5"/>
    <w:rsid w:val="002623FC"/>
    <w:rsid w:val="00264608"/>
    <w:rsid w:val="00264AC8"/>
    <w:rsid w:val="00270AD1"/>
    <w:rsid w:val="00272B6C"/>
    <w:rsid w:val="00273F30"/>
    <w:rsid w:val="002747EC"/>
    <w:rsid w:val="00283057"/>
    <w:rsid w:val="002855BF"/>
    <w:rsid w:val="0028583D"/>
    <w:rsid w:val="00285C3F"/>
    <w:rsid w:val="00286BA5"/>
    <w:rsid w:val="00286FC6"/>
    <w:rsid w:val="00291FA9"/>
    <w:rsid w:val="00292074"/>
    <w:rsid w:val="00294AFE"/>
    <w:rsid w:val="002953B2"/>
    <w:rsid w:val="00295C11"/>
    <w:rsid w:val="002A10E9"/>
    <w:rsid w:val="002A26B7"/>
    <w:rsid w:val="002A44A7"/>
    <w:rsid w:val="002A72B3"/>
    <w:rsid w:val="002B0773"/>
    <w:rsid w:val="002B0BE0"/>
    <w:rsid w:val="002B105C"/>
    <w:rsid w:val="002B1092"/>
    <w:rsid w:val="002B1EAD"/>
    <w:rsid w:val="002B2381"/>
    <w:rsid w:val="002B47B3"/>
    <w:rsid w:val="002B5207"/>
    <w:rsid w:val="002B6140"/>
    <w:rsid w:val="002B6208"/>
    <w:rsid w:val="002C2A71"/>
    <w:rsid w:val="002C48EE"/>
    <w:rsid w:val="002C4EF9"/>
    <w:rsid w:val="002C60FB"/>
    <w:rsid w:val="002C6A41"/>
    <w:rsid w:val="002D04C3"/>
    <w:rsid w:val="002D21F5"/>
    <w:rsid w:val="002D4495"/>
    <w:rsid w:val="002E1692"/>
    <w:rsid w:val="002E55F5"/>
    <w:rsid w:val="002E6492"/>
    <w:rsid w:val="002F0417"/>
    <w:rsid w:val="002F0805"/>
    <w:rsid w:val="002F0D22"/>
    <w:rsid w:val="002F1350"/>
    <w:rsid w:val="002F19C9"/>
    <w:rsid w:val="002F2032"/>
    <w:rsid w:val="002F2126"/>
    <w:rsid w:val="002F5D9A"/>
    <w:rsid w:val="00300ECF"/>
    <w:rsid w:val="0030290F"/>
    <w:rsid w:val="00303D18"/>
    <w:rsid w:val="00304CE4"/>
    <w:rsid w:val="00306B17"/>
    <w:rsid w:val="003070A7"/>
    <w:rsid w:val="003074F3"/>
    <w:rsid w:val="0031067B"/>
    <w:rsid w:val="003109A5"/>
    <w:rsid w:val="00314840"/>
    <w:rsid w:val="003172DC"/>
    <w:rsid w:val="0032076D"/>
    <w:rsid w:val="00326069"/>
    <w:rsid w:val="00327E79"/>
    <w:rsid w:val="00333D26"/>
    <w:rsid w:val="0033431D"/>
    <w:rsid w:val="0033499E"/>
    <w:rsid w:val="00334B6E"/>
    <w:rsid w:val="003356AD"/>
    <w:rsid w:val="00341E0A"/>
    <w:rsid w:val="003454FC"/>
    <w:rsid w:val="00345575"/>
    <w:rsid w:val="00345BE4"/>
    <w:rsid w:val="00345C8C"/>
    <w:rsid w:val="00345D48"/>
    <w:rsid w:val="00347E9E"/>
    <w:rsid w:val="003522A1"/>
    <w:rsid w:val="0035462D"/>
    <w:rsid w:val="00356162"/>
    <w:rsid w:val="00363177"/>
    <w:rsid w:val="003702F7"/>
    <w:rsid w:val="00370A91"/>
    <w:rsid w:val="0037603E"/>
    <w:rsid w:val="00376749"/>
    <w:rsid w:val="00380C9E"/>
    <w:rsid w:val="00381499"/>
    <w:rsid w:val="00381570"/>
    <w:rsid w:val="00382033"/>
    <w:rsid w:val="0038207B"/>
    <w:rsid w:val="00386565"/>
    <w:rsid w:val="00386BB5"/>
    <w:rsid w:val="00387ACC"/>
    <w:rsid w:val="00392912"/>
    <w:rsid w:val="0039329B"/>
    <w:rsid w:val="00393F7D"/>
    <w:rsid w:val="00395682"/>
    <w:rsid w:val="00397D21"/>
    <w:rsid w:val="003A107D"/>
    <w:rsid w:val="003A2AFC"/>
    <w:rsid w:val="003A47ED"/>
    <w:rsid w:val="003B1759"/>
    <w:rsid w:val="003B1926"/>
    <w:rsid w:val="003B330E"/>
    <w:rsid w:val="003B3C54"/>
    <w:rsid w:val="003B3FB3"/>
    <w:rsid w:val="003B5AE3"/>
    <w:rsid w:val="003B5CE3"/>
    <w:rsid w:val="003C03A5"/>
    <w:rsid w:val="003C2417"/>
    <w:rsid w:val="003C3B3C"/>
    <w:rsid w:val="003C4E37"/>
    <w:rsid w:val="003C69F7"/>
    <w:rsid w:val="003C7BE4"/>
    <w:rsid w:val="003D227F"/>
    <w:rsid w:val="003D58FF"/>
    <w:rsid w:val="003E05FF"/>
    <w:rsid w:val="003E1194"/>
    <w:rsid w:val="003E16BE"/>
    <w:rsid w:val="003E6AD7"/>
    <w:rsid w:val="003E7223"/>
    <w:rsid w:val="003F0A6F"/>
    <w:rsid w:val="003F4FF8"/>
    <w:rsid w:val="003F5A0C"/>
    <w:rsid w:val="0040095B"/>
    <w:rsid w:val="00401002"/>
    <w:rsid w:val="00401855"/>
    <w:rsid w:val="00401CC7"/>
    <w:rsid w:val="0040301B"/>
    <w:rsid w:val="00403DED"/>
    <w:rsid w:val="0040648F"/>
    <w:rsid w:val="00406DB2"/>
    <w:rsid w:val="004128E3"/>
    <w:rsid w:val="004147FF"/>
    <w:rsid w:val="004148DC"/>
    <w:rsid w:val="00416977"/>
    <w:rsid w:val="00416C13"/>
    <w:rsid w:val="0041766C"/>
    <w:rsid w:val="00417A40"/>
    <w:rsid w:val="00420374"/>
    <w:rsid w:val="004219BE"/>
    <w:rsid w:val="00421AF4"/>
    <w:rsid w:val="004249FA"/>
    <w:rsid w:val="00425A2F"/>
    <w:rsid w:val="00426D9B"/>
    <w:rsid w:val="0042702C"/>
    <w:rsid w:val="00427997"/>
    <w:rsid w:val="00432E83"/>
    <w:rsid w:val="0043446F"/>
    <w:rsid w:val="00437E8B"/>
    <w:rsid w:val="00437FD5"/>
    <w:rsid w:val="004411B5"/>
    <w:rsid w:val="004512B5"/>
    <w:rsid w:val="004513B8"/>
    <w:rsid w:val="00454A49"/>
    <w:rsid w:val="004564BA"/>
    <w:rsid w:val="0046070F"/>
    <w:rsid w:val="00461FE2"/>
    <w:rsid w:val="004621A3"/>
    <w:rsid w:val="004631B3"/>
    <w:rsid w:val="00463451"/>
    <w:rsid w:val="00464695"/>
    <w:rsid w:val="004660F7"/>
    <w:rsid w:val="00471AF2"/>
    <w:rsid w:val="00475FA8"/>
    <w:rsid w:val="00476B89"/>
    <w:rsid w:val="00477C8A"/>
    <w:rsid w:val="00480BC6"/>
    <w:rsid w:val="0048411A"/>
    <w:rsid w:val="004868E3"/>
    <w:rsid w:val="0048753B"/>
    <w:rsid w:val="00490607"/>
    <w:rsid w:val="004929CC"/>
    <w:rsid w:val="00492F3D"/>
    <w:rsid w:val="00493762"/>
    <w:rsid w:val="004938F7"/>
    <w:rsid w:val="0049678E"/>
    <w:rsid w:val="00496FFE"/>
    <w:rsid w:val="004A1CD3"/>
    <w:rsid w:val="004A227D"/>
    <w:rsid w:val="004A51E8"/>
    <w:rsid w:val="004A5840"/>
    <w:rsid w:val="004A6C35"/>
    <w:rsid w:val="004A7B4A"/>
    <w:rsid w:val="004B0F0C"/>
    <w:rsid w:val="004B383D"/>
    <w:rsid w:val="004B4971"/>
    <w:rsid w:val="004B4D7F"/>
    <w:rsid w:val="004B5FD7"/>
    <w:rsid w:val="004C1611"/>
    <w:rsid w:val="004C4F46"/>
    <w:rsid w:val="004C5539"/>
    <w:rsid w:val="004C7BC3"/>
    <w:rsid w:val="004C7C1E"/>
    <w:rsid w:val="004D2496"/>
    <w:rsid w:val="004D3521"/>
    <w:rsid w:val="004D3578"/>
    <w:rsid w:val="004D380D"/>
    <w:rsid w:val="004D3F58"/>
    <w:rsid w:val="004D5E47"/>
    <w:rsid w:val="004D6187"/>
    <w:rsid w:val="004E0C90"/>
    <w:rsid w:val="004E213A"/>
    <w:rsid w:val="004E21FC"/>
    <w:rsid w:val="004E2753"/>
    <w:rsid w:val="004E5C2D"/>
    <w:rsid w:val="004E689C"/>
    <w:rsid w:val="004E784A"/>
    <w:rsid w:val="004F27B2"/>
    <w:rsid w:val="004F4154"/>
    <w:rsid w:val="004F4FCE"/>
    <w:rsid w:val="004F5194"/>
    <w:rsid w:val="004F7496"/>
    <w:rsid w:val="004F766A"/>
    <w:rsid w:val="005006D8"/>
    <w:rsid w:val="00501DA5"/>
    <w:rsid w:val="00502A02"/>
    <w:rsid w:val="00503171"/>
    <w:rsid w:val="00506A8A"/>
    <w:rsid w:val="00514E0C"/>
    <w:rsid w:val="0051501B"/>
    <w:rsid w:val="005153FE"/>
    <w:rsid w:val="00516778"/>
    <w:rsid w:val="00520280"/>
    <w:rsid w:val="00523D9B"/>
    <w:rsid w:val="005240A4"/>
    <w:rsid w:val="005248D3"/>
    <w:rsid w:val="00526994"/>
    <w:rsid w:val="00531C12"/>
    <w:rsid w:val="00534DA0"/>
    <w:rsid w:val="00534DB0"/>
    <w:rsid w:val="005364DC"/>
    <w:rsid w:val="005406E2"/>
    <w:rsid w:val="00540B31"/>
    <w:rsid w:val="005416D8"/>
    <w:rsid w:val="00541D7A"/>
    <w:rsid w:val="00542D27"/>
    <w:rsid w:val="00543E6C"/>
    <w:rsid w:val="00544635"/>
    <w:rsid w:val="005512C4"/>
    <w:rsid w:val="005515BF"/>
    <w:rsid w:val="0055289C"/>
    <w:rsid w:val="00552A83"/>
    <w:rsid w:val="00553F96"/>
    <w:rsid w:val="00560128"/>
    <w:rsid w:val="005602FB"/>
    <w:rsid w:val="00560EB1"/>
    <w:rsid w:val="00561046"/>
    <w:rsid w:val="005617CD"/>
    <w:rsid w:val="00562CD6"/>
    <w:rsid w:val="005645FB"/>
    <w:rsid w:val="00565087"/>
    <w:rsid w:val="0056573F"/>
    <w:rsid w:val="00565BE9"/>
    <w:rsid w:val="00571CE2"/>
    <w:rsid w:val="00577BA4"/>
    <w:rsid w:val="00577BF6"/>
    <w:rsid w:val="005805D3"/>
    <w:rsid w:val="00581173"/>
    <w:rsid w:val="00583C75"/>
    <w:rsid w:val="00585DC5"/>
    <w:rsid w:val="00590A45"/>
    <w:rsid w:val="0059193E"/>
    <w:rsid w:val="00591D0D"/>
    <w:rsid w:val="00594552"/>
    <w:rsid w:val="0059473C"/>
    <w:rsid w:val="00596EF0"/>
    <w:rsid w:val="00597E8E"/>
    <w:rsid w:val="005A27D5"/>
    <w:rsid w:val="005A41AA"/>
    <w:rsid w:val="005A460B"/>
    <w:rsid w:val="005A4971"/>
    <w:rsid w:val="005A6499"/>
    <w:rsid w:val="005B1232"/>
    <w:rsid w:val="005B1DB3"/>
    <w:rsid w:val="005B25D0"/>
    <w:rsid w:val="005B2DC9"/>
    <w:rsid w:val="005B2EEF"/>
    <w:rsid w:val="005B50A5"/>
    <w:rsid w:val="005C3CEE"/>
    <w:rsid w:val="005C43CD"/>
    <w:rsid w:val="005D00D1"/>
    <w:rsid w:val="005D017D"/>
    <w:rsid w:val="005D2D69"/>
    <w:rsid w:val="005D3E11"/>
    <w:rsid w:val="005D4274"/>
    <w:rsid w:val="005D6407"/>
    <w:rsid w:val="005D6C57"/>
    <w:rsid w:val="005D735C"/>
    <w:rsid w:val="005E2530"/>
    <w:rsid w:val="005E297B"/>
    <w:rsid w:val="005E399D"/>
    <w:rsid w:val="005E4313"/>
    <w:rsid w:val="005E5681"/>
    <w:rsid w:val="005E6869"/>
    <w:rsid w:val="005E6CCA"/>
    <w:rsid w:val="005E6ED7"/>
    <w:rsid w:val="005E78FB"/>
    <w:rsid w:val="005F00D7"/>
    <w:rsid w:val="005F0388"/>
    <w:rsid w:val="005F0BD5"/>
    <w:rsid w:val="005F1EC4"/>
    <w:rsid w:val="005F5599"/>
    <w:rsid w:val="005F787A"/>
    <w:rsid w:val="00603D1E"/>
    <w:rsid w:val="0060428C"/>
    <w:rsid w:val="00605E3E"/>
    <w:rsid w:val="00606DA9"/>
    <w:rsid w:val="00606DFD"/>
    <w:rsid w:val="00607B17"/>
    <w:rsid w:val="0061046D"/>
    <w:rsid w:val="006110B1"/>
    <w:rsid w:val="00611566"/>
    <w:rsid w:val="00611D47"/>
    <w:rsid w:val="006140AE"/>
    <w:rsid w:val="00617F14"/>
    <w:rsid w:val="0062177B"/>
    <w:rsid w:val="00621853"/>
    <w:rsid w:val="00624427"/>
    <w:rsid w:val="00624EED"/>
    <w:rsid w:val="006251E2"/>
    <w:rsid w:val="00632E26"/>
    <w:rsid w:val="00632E8B"/>
    <w:rsid w:val="00633B04"/>
    <w:rsid w:val="00633BDB"/>
    <w:rsid w:val="00641A42"/>
    <w:rsid w:val="00641FA3"/>
    <w:rsid w:val="00642AB2"/>
    <w:rsid w:val="00643137"/>
    <w:rsid w:val="006454FB"/>
    <w:rsid w:val="00650C60"/>
    <w:rsid w:val="00652CAD"/>
    <w:rsid w:val="00656E1E"/>
    <w:rsid w:val="0065707F"/>
    <w:rsid w:val="00660272"/>
    <w:rsid w:val="006604E4"/>
    <w:rsid w:val="00662291"/>
    <w:rsid w:val="00663C78"/>
    <w:rsid w:val="00674C93"/>
    <w:rsid w:val="006776FA"/>
    <w:rsid w:val="00677AC9"/>
    <w:rsid w:val="00681E4D"/>
    <w:rsid w:val="006849A5"/>
    <w:rsid w:val="0068542E"/>
    <w:rsid w:val="006862BC"/>
    <w:rsid w:val="00686CEC"/>
    <w:rsid w:val="0068791F"/>
    <w:rsid w:val="00691AEC"/>
    <w:rsid w:val="00692D28"/>
    <w:rsid w:val="00694982"/>
    <w:rsid w:val="00695A4C"/>
    <w:rsid w:val="00697195"/>
    <w:rsid w:val="00697749"/>
    <w:rsid w:val="006A101E"/>
    <w:rsid w:val="006A2193"/>
    <w:rsid w:val="006A35CD"/>
    <w:rsid w:val="006A3C94"/>
    <w:rsid w:val="006A494C"/>
    <w:rsid w:val="006A5E7B"/>
    <w:rsid w:val="006A6CEE"/>
    <w:rsid w:val="006B36A5"/>
    <w:rsid w:val="006B4195"/>
    <w:rsid w:val="006B6043"/>
    <w:rsid w:val="006B786C"/>
    <w:rsid w:val="006C3600"/>
    <w:rsid w:val="006C54B5"/>
    <w:rsid w:val="006C5A9D"/>
    <w:rsid w:val="006C75ED"/>
    <w:rsid w:val="006C7A0F"/>
    <w:rsid w:val="006C7A4C"/>
    <w:rsid w:val="006C7A60"/>
    <w:rsid w:val="006D1E24"/>
    <w:rsid w:val="006D27D6"/>
    <w:rsid w:val="006D3698"/>
    <w:rsid w:val="006D6026"/>
    <w:rsid w:val="006E0F1C"/>
    <w:rsid w:val="006E232E"/>
    <w:rsid w:val="006E45E6"/>
    <w:rsid w:val="006E72D7"/>
    <w:rsid w:val="006E7316"/>
    <w:rsid w:val="006F1B44"/>
    <w:rsid w:val="006F2CA1"/>
    <w:rsid w:val="006F659B"/>
    <w:rsid w:val="0070033D"/>
    <w:rsid w:val="00702BDF"/>
    <w:rsid w:val="00703563"/>
    <w:rsid w:val="00703739"/>
    <w:rsid w:val="00703908"/>
    <w:rsid w:val="00705ABF"/>
    <w:rsid w:val="00707B31"/>
    <w:rsid w:val="00711CDA"/>
    <w:rsid w:val="00712ECA"/>
    <w:rsid w:val="007157D8"/>
    <w:rsid w:val="007169A9"/>
    <w:rsid w:val="007201E4"/>
    <w:rsid w:val="007204F3"/>
    <w:rsid w:val="00720D6D"/>
    <w:rsid w:val="00723348"/>
    <w:rsid w:val="007236BC"/>
    <w:rsid w:val="00724683"/>
    <w:rsid w:val="0072663D"/>
    <w:rsid w:val="00730D6C"/>
    <w:rsid w:val="007318F1"/>
    <w:rsid w:val="00733FC6"/>
    <w:rsid w:val="0073469A"/>
    <w:rsid w:val="00734A5B"/>
    <w:rsid w:val="00734DD2"/>
    <w:rsid w:val="00741EC5"/>
    <w:rsid w:val="00743525"/>
    <w:rsid w:val="00743DD2"/>
    <w:rsid w:val="00744E76"/>
    <w:rsid w:val="00746259"/>
    <w:rsid w:val="00746F7F"/>
    <w:rsid w:val="007476DB"/>
    <w:rsid w:val="0075000A"/>
    <w:rsid w:val="007509F3"/>
    <w:rsid w:val="007526EA"/>
    <w:rsid w:val="0075407D"/>
    <w:rsid w:val="0075565E"/>
    <w:rsid w:val="0075592C"/>
    <w:rsid w:val="00757D40"/>
    <w:rsid w:val="00761707"/>
    <w:rsid w:val="0076253A"/>
    <w:rsid w:val="00763F69"/>
    <w:rsid w:val="00765A81"/>
    <w:rsid w:val="00766B52"/>
    <w:rsid w:val="007676CC"/>
    <w:rsid w:val="007736E5"/>
    <w:rsid w:val="00774846"/>
    <w:rsid w:val="007815E2"/>
    <w:rsid w:val="00781F0F"/>
    <w:rsid w:val="00782170"/>
    <w:rsid w:val="007846B1"/>
    <w:rsid w:val="0078727C"/>
    <w:rsid w:val="007917D0"/>
    <w:rsid w:val="0079415C"/>
    <w:rsid w:val="007942AD"/>
    <w:rsid w:val="00794D81"/>
    <w:rsid w:val="00794F95"/>
    <w:rsid w:val="007950E4"/>
    <w:rsid w:val="007955DA"/>
    <w:rsid w:val="00796D30"/>
    <w:rsid w:val="00797D4B"/>
    <w:rsid w:val="007A3955"/>
    <w:rsid w:val="007B0349"/>
    <w:rsid w:val="007C095F"/>
    <w:rsid w:val="007C1636"/>
    <w:rsid w:val="007C2A8C"/>
    <w:rsid w:val="007C528D"/>
    <w:rsid w:val="007C668A"/>
    <w:rsid w:val="007D18EA"/>
    <w:rsid w:val="007D29C4"/>
    <w:rsid w:val="007D30C3"/>
    <w:rsid w:val="007D3B84"/>
    <w:rsid w:val="007D5902"/>
    <w:rsid w:val="007D62CF"/>
    <w:rsid w:val="007D6459"/>
    <w:rsid w:val="007E001D"/>
    <w:rsid w:val="007E08D9"/>
    <w:rsid w:val="007E16B8"/>
    <w:rsid w:val="007E2D1C"/>
    <w:rsid w:val="007E3251"/>
    <w:rsid w:val="007E5667"/>
    <w:rsid w:val="007E5C06"/>
    <w:rsid w:val="007E6249"/>
    <w:rsid w:val="007F0082"/>
    <w:rsid w:val="007F2676"/>
    <w:rsid w:val="007F2F62"/>
    <w:rsid w:val="007F592D"/>
    <w:rsid w:val="007F78ED"/>
    <w:rsid w:val="007F7A83"/>
    <w:rsid w:val="00801D66"/>
    <w:rsid w:val="00802106"/>
    <w:rsid w:val="008025D8"/>
    <w:rsid w:val="008028A4"/>
    <w:rsid w:val="00802B93"/>
    <w:rsid w:val="00803BF3"/>
    <w:rsid w:val="00804407"/>
    <w:rsid w:val="00804D49"/>
    <w:rsid w:val="00806067"/>
    <w:rsid w:val="00806520"/>
    <w:rsid w:val="008075F5"/>
    <w:rsid w:val="00807F31"/>
    <w:rsid w:val="008134B2"/>
    <w:rsid w:val="00814D6C"/>
    <w:rsid w:val="00816A6C"/>
    <w:rsid w:val="008178BE"/>
    <w:rsid w:val="00820CD1"/>
    <w:rsid w:val="0082158D"/>
    <w:rsid w:val="00823A9D"/>
    <w:rsid w:val="008248F8"/>
    <w:rsid w:val="008259FB"/>
    <w:rsid w:val="00826023"/>
    <w:rsid w:val="0082655D"/>
    <w:rsid w:val="00826BA1"/>
    <w:rsid w:val="00830106"/>
    <w:rsid w:val="0083097A"/>
    <w:rsid w:val="0083340C"/>
    <w:rsid w:val="008336F9"/>
    <w:rsid w:val="00840916"/>
    <w:rsid w:val="00846547"/>
    <w:rsid w:val="0084713B"/>
    <w:rsid w:val="00851611"/>
    <w:rsid w:val="00852F7C"/>
    <w:rsid w:val="00853EDD"/>
    <w:rsid w:val="008561B4"/>
    <w:rsid w:val="008604EE"/>
    <w:rsid w:val="008608FB"/>
    <w:rsid w:val="0086131D"/>
    <w:rsid w:val="008627A2"/>
    <w:rsid w:val="00864957"/>
    <w:rsid w:val="008664B3"/>
    <w:rsid w:val="00867147"/>
    <w:rsid w:val="00867C09"/>
    <w:rsid w:val="008733DE"/>
    <w:rsid w:val="0087352F"/>
    <w:rsid w:val="0087401D"/>
    <w:rsid w:val="008768CA"/>
    <w:rsid w:val="00877827"/>
    <w:rsid w:val="00880559"/>
    <w:rsid w:val="008840E9"/>
    <w:rsid w:val="00884876"/>
    <w:rsid w:val="00884B9E"/>
    <w:rsid w:val="00885C51"/>
    <w:rsid w:val="00886135"/>
    <w:rsid w:val="008872C2"/>
    <w:rsid w:val="008877B8"/>
    <w:rsid w:val="00894B69"/>
    <w:rsid w:val="00894E8A"/>
    <w:rsid w:val="008965F3"/>
    <w:rsid w:val="008A427A"/>
    <w:rsid w:val="008A4A19"/>
    <w:rsid w:val="008A4CA6"/>
    <w:rsid w:val="008A593F"/>
    <w:rsid w:val="008B3D04"/>
    <w:rsid w:val="008B4705"/>
    <w:rsid w:val="008C2835"/>
    <w:rsid w:val="008C44BE"/>
    <w:rsid w:val="008C46E6"/>
    <w:rsid w:val="008C484F"/>
    <w:rsid w:val="008C490B"/>
    <w:rsid w:val="008C60A8"/>
    <w:rsid w:val="008D229E"/>
    <w:rsid w:val="008D2F84"/>
    <w:rsid w:val="008D323C"/>
    <w:rsid w:val="008D590D"/>
    <w:rsid w:val="008D699F"/>
    <w:rsid w:val="008E0B99"/>
    <w:rsid w:val="008E29C6"/>
    <w:rsid w:val="008E56CD"/>
    <w:rsid w:val="008E5B01"/>
    <w:rsid w:val="008E7043"/>
    <w:rsid w:val="008F257D"/>
    <w:rsid w:val="008F4235"/>
    <w:rsid w:val="008F6F68"/>
    <w:rsid w:val="008F71CE"/>
    <w:rsid w:val="008F723B"/>
    <w:rsid w:val="008F7765"/>
    <w:rsid w:val="0090271F"/>
    <w:rsid w:val="00902877"/>
    <w:rsid w:val="00903D8C"/>
    <w:rsid w:val="00904717"/>
    <w:rsid w:val="009066B8"/>
    <w:rsid w:val="00913D4D"/>
    <w:rsid w:val="009215DC"/>
    <w:rsid w:val="00921644"/>
    <w:rsid w:val="00922263"/>
    <w:rsid w:val="00925076"/>
    <w:rsid w:val="00933148"/>
    <w:rsid w:val="009343D0"/>
    <w:rsid w:val="009348CB"/>
    <w:rsid w:val="00942031"/>
    <w:rsid w:val="00942EC2"/>
    <w:rsid w:val="0094366D"/>
    <w:rsid w:val="009444DD"/>
    <w:rsid w:val="00944657"/>
    <w:rsid w:val="00945AD7"/>
    <w:rsid w:val="00946FAF"/>
    <w:rsid w:val="0094712E"/>
    <w:rsid w:val="00954BCB"/>
    <w:rsid w:val="009563AD"/>
    <w:rsid w:val="009571AE"/>
    <w:rsid w:val="00960E24"/>
    <w:rsid w:val="00961B32"/>
    <w:rsid w:val="0096262C"/>
    <w:rsid w:val="00962D22"/>
    <w:rsid w:val="00963B77"/>
    <w:rsid w:val="0096456C"/>
    <w:rsid w:val="009647F1"/>
    <w:rsid w:val="0096711C"/>
    <w:rsid w:val="00971683"/>
    <w:rsid w:val="00972FD7"/>
    <w:rsid w:val="00974236"/>
    <w:rsid w:val="00974A2A"/>
    <w:rsid w:val="00974BB0"/>
    <w:rsid w:val="00981602"/>
    <w:rsid w:val="009816AD"/>
    <w:rsid w:val="0098622D"/>
    <w:rsid w:val="00990D4D"/>
    <w:rsid w:val="0099282D"/>
    <w:rsid w:val="0099387E"/>
    <w:rsid w:val="009A08DF"/>
    <w:rsid w:val="009A1BA5"/>
    <w:rsid w:val="009A21C3"/>
    <w:rsid w:val="009A3A30"/>
    <w:rsid w:val="009A601C"/>
    <w:rsid w:val="009A6E4F"/>
    <w:rsid w:val="009A708C"/>
    <w:rsid w:val="009B3C2F"/>
    <w:rsid w:val="009B50B4"/>
    <w:rsid w:val="009C0C01"/>
    <w:rsid w:val="009C4547"/>
    <w:rsid w:val="009C49BB"/>
    <w:rsid w:val="009C4D5C"/>
    <w:rsid w:val="009C60BB"/>
    <w:rsid w:val="009C6D22"/>
    <w:rsid w:val="009D0A28"/>
    <w:rsid w:val="009D22B5"/>
    <w:rsid w:val="009D252B"/>
    <w:rsid w:val="009D44C3"/>
    <w:rsid w:val="009D55CF"/>
    <w:rsid w:val="009E0EF1"/>
    <w:rsid w:val="009E50AD"/>
    <w:rsid w:val="009E587C"/>
    <w:rsid w:val="009E618D"/>
    <w:rsid w:val="009E6E31"/>
    <w:rsid w:val="009F07DA"/>
    <w:rsid w:val="009F0FD9"/>
    <w:rsid w:val="009F3B54"/>
    <w:rsid w:val="009F4747"/>
    <w:rsid w:val="009F5689"/>
    <w:rsid w:val="009F601F"/>
    <w:rsid w:val="009F6101"/>
    <w:rsid w:val="009F7E6E"/>
    <w:rsid w:val="00A004B2"/>
    <w:rsid w:val="00A043A4"/>
    <w:rsid w:val="00A07832"/>
    <w:rsid w:val="00A10F02"/>
    <w:rsid w:val="00A137A4"/>
    <w:rsid w:val="00A14ACB"/>
    <w:rsid w:val="00A14D5F"/>
    <w:rsid w:val="00A205A9"/>
    <w:rsid w:val="00A20D1F"/>
    <w:rsid w:val="00A25D5B"/>
    <w:rsid w:val="00A30CEB"/>
    <w:rsid w:val="00A33D5D"/>
    <w:rsid w:val="00A41662"/>
    <w:rsid w:val="00A44D46"/>
    <w:rsid w:val="00A45606"/>
    <w:rsid w:val="00A45EA9"/>
    <w:rsid w:val="00A47668"/>
    <w:rsid w:val="00A5134F"/>
    <w:rsid w:val="00A51F1B"/>
    <w:rsid w:val="00A53724"/>
    <w:rsid w:val="00A559F6"/>
    <w:rsid w:val="00A5612A"/>
    <w:rsid w:val="00A6281C"/>
    <w:rsid w:val="00A6424B"/>
    <w:rsid w:val="00A6568C"/>
    <w:rsid w:val="00A6672A"/>
    <w:rsid w:val="00A710BA"/>
    <w:rsid w:val="00A712F5"/>
    <w:rsid w:val="00A715F3"/>
    <w:rsid w:val="00A74166"/>
    <w:rsid w:val="00A75BFA"/>
    <w:rsid w:val="00A77776"/>
    <w:rsid w:val="00A80506"/>
    <w:rsid w:val="00A814E6"/>
    <w:rsid w:val="00A82346"/>
    <w:rsid w:val="00A82739"/>
    <w:rsid w:val="00A82A8B"/>
    <w:rsid w:val="00A8361A"/>
    <w:rsid w:val="00A91E81"/>
    <w:rsid w:val="00A91EDD"/>
    <w:rsid w:val="00A94343"/>
    <w:rsid w:val="00A9671C"/>
    <w:rsid w:val="00AA5B1A"/>
    <w:rsid w:val="00AA6D52"/>
    <w:rsid w:val="00AA74CB"/>
    <w:rsid w:val="00AB4ECE"/>
    <w:rsid w:val="00AB6AAB"/>
    <w:rsid w:val="00AB6D72"/>
    <w:rsid w:val="00AC018B"/>
    <w:rsid w:val="00AC06F4"/>
    <w:rsid w:val="00AC13AE"/>
    <w:rsid w:val="00AC3AFD"/>
    <w:rsid w:val="00AC4A53"/>
    <w:rsid w:val="00AC649B"/>
    <w:rsid w:val="00AC66D6"/>
    <w:rsid w:val="00AC66E4"/>
    <w:rsid w:val="00AC7FE4"/>
    <w:rsid w:val="00AD0338"/>
    <w:rsid w:val="00AD0D9F"/>
    <w:rsid w:val="00AD485B"/>
    <w:rsid w:val="00AD4BCF"/>
    <w:rsid w:val="00AD6F18"/>
    <w:rsid w:val="00AE0F73"/>
    <w:rsid w:val="00AE2C01"/>
    <w:rsid w:val="00AF23F9"/>
    <w:rsid w:val="00AF328B"/>
    <w:rsid w:val="00AF3B25"/>
    <w:rsid w:val="00AF4A8E"/>
    <w:rsid w:val="00AF6CC5"/>
    <w:rsid w:val="00AF78D5"/>
    <w:rsid w:val="00B00246"/>
    <w:rsid w:val="00B032E8"/>
    <w:rsid w:val="00B0454F"/>
    <w:rsid w:val="00B1063A"/>
    <w:rsid w:val="00B1275F"/>
    <w:rsid w:val="00B13CC4"/>
    <w:rsid w:val="00B15449"/>
    <w:rsid w:val="00B1620F"/>
    <w:rsid w:val="00B162D6"/>
    <w:rsid w:val="00B21241"/>
    <w:rsid w:val="00B2165E"/>
    <w:rsid w:val="00B23AD2"/>
    <w:rsid w:val="00B25D8D"/>
    <w:rsid w:val="00B30848"/>
    <w:rsid w:val="00B325E7"/>
    <w:rsid w:val="00B3439E"/>
    <w:rsid w:val="00B35436"/>
    <w:rsid w:val="00B3744F"/>
    <w:rsid w:val="00B44569"/>
    <w:rsid w:val="00B44605"/>
    <w:rsid w:val="00B45FD7"/>
    <w:rsid w:val="00B477C9"/>
    <w:rsid w:val="00B52C52"/>
    <w:rsid w:val="00B553C4"/>
    <w:rsid w:val="00B5643C"/>
    <w:rsid w:val="00B60B8C"/>
    <w:rsid w:val="00B62C4F"/>
    <w:rsid w:val="00B63260"/>
    <w:rsid w:val="00B67BC0"/>
    <w:rsid w:val="00B71A64"/>
    <w:rsid w:val="00B73B98"/>
    <w:rsid w:val="00B73FED"/>
    <w:rsid w:val="00B746AA"/>
    <w:rsid w:val="00B75136"/>
    <w:rsid w:val="00B76B4F"/>
    <w:rsid w:val="00B82863"/>
    <w:rsid w:val="00B8330B"/>
    <w:rsid w:val="00B865C6"/>
    <w:rsid w:val="00B867C1"/>
    <w:rsid w:val="00B91ED8"/>
    <w:rsid w:val="00B93496"/>
    <w:rsid w:val="00B945BF"/>
    <w:rsid w:val="00B9781E"/>
    <w:rsid w:val="00BA11DF"/>
    <w:rsid w:val="00BA1757"/>
    <w:rsid w:val="00BA6027"/>
    <w:rsid w:val="00BA654D"/>
    <w:rsid w:val="00BB45DA"/>
    <w:rsid w:val="00BB4870"/>
    <w:rsid w:val="00BB5B8E"/>
    <w:rsid w:val="00BB6310"/>
    <w:rsid w:val="00BB6AE0"/>
    <w:rsid w:val="00BB7104"/>
    <w:rsid w:val="00BB75A6"/>
    <w:rsid w:val="00BB78CF"/>
    <w:rsid w:val="00BC2DC7"/>
    <w:rsid w:val="00BC3A24"/>
    <w:rsid w:val="00BC4C85"/>
    <w:rsid w:val="00BC543F"/>
    <w:rsid w:val="00BD09C1"/>
    <w:rsid w:val="00BD64E4"/>
    <w:rsid w:val="00BD64E5"/>
    <w:rsid w:val="00BD6CFD"/>
    <w:rsid w:val="00BD7C84"/>
    <w:rsid w:val="00BE08F7"/>
    <w:rsid w:val="00BE0AD1"/>
    <w:rsid w:val="00BE12E5"/>
    <w:rsid w:val="00BE459F"/>
    <w:rsid w:val="00BF09DF"/>
    <w:rsid w:val="00BF1344"/>
    <w:rsid w:val="00BF1D10"/>
    <w:rsid w:val="00BF3490"/>
    <w:rsid w:val="00BF54B8"/>
    <w:rsid w:val="00BF6F0F"/>
    <w:rsid w:val="00BF79F1"/>
    <w:rsid w:val="00C02B12"/>
    <w:rsid w:val="00C03035"/>
    <w:rsid w:val="00C07E3C"/>
    <w:rsid w:val="00C15D9D"/>
    <w:rsid w:val="00C16BB0"/>
    <w:rsid w:val="00C219B0"/>
    <w:rsid w:val="00C219C3"/>
    <w:rsid w:val="00C22D06"/>
    <w:rsid w:val="00C23811"/>
    <w:rsid w:val="00C26F2B"/>
    <w:rsid w:val="00C275BC"/>
    <w:rsid w:val="00C27DE6"/>
    <w:rsid w:val="00C33079"/>
    <w:rsid w:val="00C34156"/>
    <w:rsid w:val="00C36412"/>
    <w:rsid w:val="00C365F1"/>
    <w:rsid w:val="00C3664A"/>
    <w:rsid w:val="00C40A8F"/>
    <w:rsid w:val="00C43B31"/>
    <w:rsid w:val="00C4587E"/>
    <w:rsid w:val="00C4612F"/>
    <w:rsid w:val="00C47051"/>
    <w:rsid w:val="00C504EB"/>
    <w:rsid w:val="00C50536"/>
    <w:rsid w:val="00C55EB7"/>
    <w:rsid w:val="00C61986"/>
    <w:rsid w:val="00C61CE6"/>
    <w:rsid w:val="00C61FD9"/>
    <w:rsid w:val="00C62547"/>
    <w:rsid w:val="00C637FA"/>
    <w:rsid w:val="00C64DE1"/>
    <w:rsid w:val="00C712F8"/>
    <w:rsid w:val="00C721F7"/>
    <w:rsid w:val="00C77BB2"/>
    <w:rsid w:val="00C815E9"/>
    <w:rsid w:val="00C82CED"/>
    <w:rsid w:val="00C83522"/>
    <w:rsid w:val="00C84AF4"/>
    <w:rsid w:val="00C84ED9"/>
    <w:rsid w:val="00C85954"/>
    <w:rsid w:val="00C863CC"/>
    <w:rsid w:val="00C870EB"/>
    <w:rsid w:val="00C87B4C"/>
    <w:rsid w:val="00C91736"/>
    <w:rsid w:val="00C9550F"/>
    <w:rsid w:val="00C9634E"/>
    <w:rsid w:val="00CA24B0"/>
    <w:rsid w:val="00CA3D0C"/>
    <w:rsid w:val="00CA457A"/>
    <w:rsid w:val="00CA4776"/>
    <w:rsid w:val="00CA5D42"/>
    <w:rsid w:val="00CA67EF"/>
    <w:rsid w:val="00CA6AD2"/>
    <w:rsid w:val="00CB0A1D"/>
    <w:rsid w:val="00CB0A8D"/>
    <w:rsid w:val="00CB6651"/>
    <w:rsid w:val="00CB6887"/>
    <w:rsid w:val="00CC0872"/>
    <w:rsid w:val="00CC17CD"/>
    <w:rsid w:val="00CC24BD"/>
    <w:rsid w:val="00CC3671"/>
    <w:rsid w:val="00CC3C36"/>
    <w:rsid w:val="00CC6138"/>
    <w:rsid w:val="00CD0082"/>
    <w:rsid w:val="00CD19DA"/>
    <w:rsid w:val="00CD2BE0"/>
    <w:rsid w:val="00CD320E"/>
    <w:rsid w:val="00CD3B71"/>
    <w:rsid w:val="00CD40ED"/>
    <w:rsid w:val="00CD4C7B"/>
    <w:rsid w:val="00CD50FE"/>
    <w:rsid w:val="00CE2D31"/>
    <w:rsid w:val="00CE31D4"/>
    <w:rsid w:val="00CE5008"/>
    <w:rsid w:val="00CE7505"/>
    <w:rsid w:val="00CF0FF4"/>
    <w:rsid w:val="00CF3072"/>
    <w:rsid w:val="00CF3EB2"/>
    <w:rsid w:val="00CF5490"/>
    <w:rsid w:val="00CF67B3"/>
    <w:rsid w:val="00D00CB9"/>
    <w:rsid w:val="00D00EFB"/>
    <w:rsid w:val="00D01AD9"/>
    <w:rsid w:val="00D03AA2"/>
    <w:rsid w:val="00D07226"/>
    <w:rsid w:val="00D10E16"/>
    <w:rsid w:val="00D11329"/>
    <w:rsid w:val="00D12E2A"/>
    <w:rsid w:val="00D145ED"/>
    <w:rsid w:val="00D14AB6"/>
    <w:rsid w:val="00D173A2"/>
    <w:rsid w:val="00D22038"/>
    <w:rsid w:val="00D225F2"/>
    <w:rsid w:val="00D227B5"/>
    <w:rsid w:val="00D264F3"/>
    <w:rsid w:val="00D31768"/>
    <w:rsid w:val="00D320CC"/>
    <w:rsid w:val="00D324CB"/>
    <w:rsid w:val="00D35EBD"/>
    <w:rsid w:val="00D36179"/>
    <w:rsid w:val="00D363F5"/>
    <w:rsid w:val="00D40191"/>
    <w:rsid w:val="00D424DB"/>
    <w:rsid w:val="00D448FD"/>
    <w:rsid w:val="00D45717"/>
    <w:rsid w:val="00D476D2"/>
    <w:rsid w:val="00D5053D"/>
    <w:rsid w:val="00D53037"/>
    <w:rsid w:val="00D536A5"/>
    <w:rsid w:val="00D57A95"/>
    <w:rsid w:val="00D62035"/>
    <w:rsid w:val="00D65576"/>
    <w:rsid w:val="00D7259D"/>
    <w:rsid w:val="00D735D9"/>
    <w:rsid w:val="00D738D6"/>
    <w:rsid w:val="00D739A9"/>
    <w:rsid w:val="00D75365"/>
    <w:rsid w:val="00D77A9F"/>
    <w:rsid w:val="00D80795"/>
    <w:rsid w:val="00D8140D"/>
    <w:rsid w:val="00D81D78"/>
    <w:rsid w:val="00D8257F"/>
    <w:rsid w:val="00D8385B"/>
    <w:rsid w:val="00D85046"/>
    <w:rsid w:val="00D86AB5"/>
    <w:rsid w:val="00D87E00"/>
    <w:rsid w:val="00D908B4"/>
    <w:rsid w:val="00D9134D"/>
    <w:rsid w:val="00D92AE0"/>
    <w:rsid w:val="00D9307C"/>
    <w:rsid w:val="00D95538"/>
    <w:rsid w:val="00D97CD9"/>
    <w:rsid w:val="00DA0FC2"/>
    <w:rsid w:val="00DA1259"/>
    <w:rsid w:val="00DA3AF0"/>
    <w:rsid w:val="00DA58E4"/>
    <w:rsid w:val="00DA6D7E"/>
    <w:rsid w:val="00DA7A03"/>
    <w:rsid w:val="00DB0725"/>
    <w:rsid w:val="00DB0C85"/>
    <w:rsid w:val="00DB1818"/>
    <w:rsid w:val="00DB2989"/>
    <w:rsid w:val="00DB3918"/>
    <w:rsid w:val="00DB397B"/>
    <w:rsid w:val="00DC0853"/>
    <w:rsid w:val="00DC309B"/>
    <w:rsid w:val="00DC364E"/>
    <w:rsid w:val="00DC3C32"/>
    <w:rsid w:val="00DC4DA2"/>
    <w:rsid w:val="00DC7061"/>
    <w:rsid w:val="00DD4EE5"/>
    <w:rsid w:val="00DD5043"/>
    <w:rsid w:val="00DE04E8"/>
    <w:rsid w:val="00DE12DC"/>
    <w:rsid w:val="00DE1406"/>
    <w:rsid w:val="00DE250C"/>
    <w:rsid w:val="00DE458A"/>
    <w:rsid w:val="00DE4E1F"/>
    <w:rsid w:val="00DE5191"/>
    <w:rsid w:val="00DF4C40"/>
    <w:rsid w:val="00E01559"/>
    <w:rsid w:val="00E02901"/>
    <w:rsid w:val="00E04305"/>
    <w:rsid w:val="00E04496"/>
    <w:rsid w:val="00E05A6A"/>
    <w:rsid w:val="00E07178"/>
    <w:rsid w:val="00E07838"/>
    <w:rsid w:val="00E10202"/>
    <w:rsid w:val="00E107EB"/>
    <w:rsid w:val="00E12A23"/>
    <w:rsid w:val="00E15101"/>
    <w:rsid w:val="00E17D25"/>
    <w:rsid w:val="00E20BB5"/>
    <w:rsid w:val="00E23D6A"/>
    <w:rsid w:val="00E261F1"/>
    <w:rsid w:val="00E267BF"/>
    <w:rsid w:val="00E26958"/>
    <w:rsid w:val="00E3322E"/>
    <w:rsid w:val="00E340BC"/>
    <w:rsid w:val="00E350D7"/>
    <w:rsid w:val="00E42990"/>
    <w:rsid w:val="00E43643"/>
    <w:rsid w:val="00E45796"/>
    <w:rsid w:val="00E4620C"/>
    <w:rsid w:val="00E47B84"/>
    <w:rsid w:val="00E506BD"/>
    <w:rsid w:val="00E50B2C"/>
    <w:rsid w:val="00E51F8B"/>
    <w:rsid w:val="00E5366A"/>
    <w:rsid w:val="00E556E7"/>
    <w:rsid w:val="00E60F43"/>
    <w:rsid w:val="00E619BE"/>
    <w:rsid w:val="00E62835"/>
    <w:rsid w:val="00E65A27"/>
    <w:rsid w:val="00E6606E"/>
    <w:rsid w:val="00E66426"/>
    <w:rsid w:val="00E71219"/>
    <w:rsid w:val="00E72E1E"/>
    <w:rsid w:val="00E77645"/>
    <w:rsid w:val="00E77B63"/>
    <w:rsid w:val="00E852FF"/>
    <w:rsid w:val="00E86708"/>
    <w:rsid w:val="00E90ABE"/>
    <w:rsid w:val="00EA1D56"/>
    <w:rsid w:val="00EA1DD0"/>
    <w:rsid w:val="00EA2148"/>
    <w:rsid w:val="00EA22F8"/>
    <w:rsid w:val="00EA3ED8"/>
    <w:rsid w:val="00EA70FB"/>
    <w:rsid w:val="00EA7B2C"/>
    <w:rsid w:val="00EB1A20"/>
    <w:rsid w:val="00EB2D49"/>
    <w:rsid w:val="00EB2EF5"/>
    <w:rsid w:val="00EB3CA4"/>
    <w:rsid w:val="00EC4A25"/>
    <w:rsid w:val="00EC572D"/>
    <w:rsid w:val="00EC70C6"/>
    <w:rsid w:val="00ED096C"/>
    <w:rsid w:val="00ED6597"/>
    <w:rsid w:val="00EE0138"/>
    <w:rsid w:val="00EE0A1E"/>
    <w:rsid w:val="00EE0EE2"/>
    <w:rsid w:val="00EE10E9"/>
    <w:rsid w:val="00EE3C21"/>
    <w:rsid w:val="00EF2AA1"/>
    <w:rsid w:val="00EF34D5"/>
    <w:rsid w:val="00EF36BB"/>
    <w:rsid w:val="00F01749"/>
    <w:rsid w:val="00F025A2"/>
    <w:rsid w:val="00F0464D"/>
    <w:rsid w:val="00F10F70"/>
    <w:rsid w:val="00F114A4"/>
    <w:rsid w:val="00F11A65"/>
    <w:rsid w:val="00F1404B"/>
    <w:rsid w:val="00F15B1F"/>
    <w:rsid w:val="00F1677B"/>
    <w:rsid w:val="00F2026E"/>
    <w:rsid w:val="00F2210A"/>
    <w:rsid w:val="00F2286C"/>
    <w:rsid w:val="00F2336F"/>
    <w:rsid w:val="00F27DAF"/>
    <w:rsid w:val="00F314D7"/>
    <w:rsid w:val="00F322A4"/>
    <w:rsid w:val="00F341F8"/>
    <w:rsid w:val="00F35763"/>
    <w:rsid w:val="00F37177"/>
    <w:rsid w:val="00F37743"/>
    <w:rsid w:val="00F37BCD"/>
    <w:rsid w:val="00F52B92"/>
    <w:rsid w:val="00F54A3D"/>
    <w:rsid w:val="00F54BE5"/>
    <w:rsid w:val="00F55D23"/>
    <w:rsid w:val="00F55E65"/>
    <w:rsid w:val="00F57445"/>
    <w:rsid w:val="00F61801"/>
    <w:rsid w:val="00F62971"/>
    <w:rsid w:val="00F63124"/>
    <w:rsid w:val="00F653B8"/>
    <w:rsid w:val="00F7030E"/>
    <w:rsid w:val="00F704E9"/>
    <w:rsid w:val="00F70DFA"/>
    <w:rsid w:val="00F72898"/>
    <w:rsid w:val="00F76F8F"/>
    <w:rsid w:val="00F7735B"/>
    <w:rsid w:val="00F778CE"/>
    <w:rsid w:val="00F81CFD"/>
    <w:rsid w:val="00F86694"/>
    <w:rsid w:val="00F8696A"/>
    <w:rsid w:val="00F87E9C"/>
    <w:rsid w:val="00F90316"/>
    <w:rsid w:val="00F90B5B"/>
    <w:rsid w:val="00F90C3A"/>
    <w:rsid w:val="00F92B06"/>
    <w:rsid w:val="00F92C61"/>
    <w:rsid w:val="00F9339A"/>
    <w:rsid w:val="00FA0A43"/>
    <w:rsid w:val="00FA0D37"/>
    <w:rsid w:val="00FA1266"/>
    <w:rsid w:val="00FA28BB"/>
    <w:rsid w:val="00FA5D94"/>
    <w:rsid w:val="00FA5F2F"/>
    <w:rsid w:val="00FB2BEA"/>
    <w:rsid w:val="00FB3984"/>
    <w:rsid w:val="00FB42AC"/>
    <w:rsid w:val="00FB44E1"/>
    <w:rsid w:val="00FB635A"/>
    <w:rsid w:val="00FC1192"/>
    <w:rsid w:val="00FC2462"/>
    <w:rsid w:val="00FC53BF"/>
    <w:rsid w:val="00FC6713"/>
    <w:rsid w:val="00FC7BB6"/>
    <w:rsid w:val="00FD009A"/>
    <w:rsid w:val="00FD5157"/>
    <w:rsid w:val="00FE32DA"/>
    <w:rsid w:val="00FE3EBD"/>
    <w:rsid w:val="00FE5093"/>
    <w:rsid w:val="00FE76B2"/>
    <w:rsid w:val="00FF0559"/>
    <w:rsid w:val="00FF08F9"/>
    <w:rsid w:val="00FF1E6A"/>
    <w:rsid w:val="00FF2458"/>
    <w:rsid w:val="00FF4BAA"/>
    <w:rsid w:val="00FF5453"/>
    <w:rsid w:val="00FF7BCD"/>
    <w:rsid w:val="00FF7D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44A18DDD-9D1D-4E2C-9B20-E87BE311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Heading2Char">
    <w:name w:val="Heading 2 Char"/>
    <w:link w:val="Heading2"/>
    <w:qFormat/>
    <w:rsid w:val="00B0454F"/>
    <w:rPr>
      <w:rFonts w:ascii="Arial" w:hAnsi="Arial"/>
      <w:sz w:val="32"/>
      <w:lang w:val="en-GB"/>
    </w:rPr>
  </w:style>
  <w:style w:type="character" w:customStyle="1" w:styleId="normaltextrun">
    <w:name w:val="normaltextrun"/>
    <w:basedOn w:val="DefaultParagraphFont"/>
    <w:rsid w:val="002C48EE"/>
  </w:style>
  <w:style w:type="paragraph" w:styleId="Revision">
    <w:name w:val="Revision"/>
    <w:hidden/>
    <w:uiPriority w:val="99"/>
    <w:semiHidden/>
    <w:rsid w:val="00314840"/>
    <w:rPr>
      <w:lang w:val="en-GB" w:eastAsia="en-US"/>
    </w:rPr>
  </w:style>
  <w:style w:type="paragraph" w:customStyle="1" w:styleId="Proposal">
    <w:name w:val="Proposal"/>
    <w:basedOn w:val="Normal"/>
    <w:link w:val="ProposalChar"/>
    <w:qFormat/>
    <w:rsid w:val="00AD0D9F"/>
    <w:pPr>
      <w:tabs>
        <w:tab w:val="left" w:pos="1560"/>
      </w:tabs>
    </w:pPr>
    <w:rPr>
      <w:rFonts w:eastAsia="DengXian"/>
      <w:b/>
    </w:rPr>
  </w:style>
  <w:style w:type="character" w:customStyle="1" w:styleId="ProposalChar">
    <w:name w:val="Proposal Char"/>
    <w:link w:val="Proposal"/>
    <w:rsid w:val="00AD0D9F"/>
    <w:rPr>
      <w:rFonts w:eastAsia="DengXian"/>
      <w:b/>
      <w:lang w:val="en-GB" w:eastAsia="en-US"/>
    </w:rPr>
  </w:style>
  <w:style w:type="character" w:customStyle="1" w:styleId="Heading1Char">
    <w:name w:val="Heading 1 Char"/>
    <w:link w:val="Heading1"/>
    <w:rsid w:val="009F4747"/>
    <w:rPr>
      <w:rFonts w:ascii="Arial" w:hAnsi="Arial"/>
      <w:sz w:val="36"/>
      <w:lang w:val="en-GB" w:eastAsia="en-US"/>
    </w:rPr>
  </w:style>
  <w:style w:type="paragraph" w:styleId="NormalWeb">
    <w:name w:val="Normal (Web)"/>
    <w:basedOn w:val="Normal"/>
    <w:uiPriority w:val="99"/>
    <w:unhideWhenUsed/>
    <w:rsid w:val="0038207B"/>
    <w:pPr>
      <w:spacing w:before="100" w:beforeAutospacing="1" w:after="100" w:afterAutospacing="1"/>
    </w:pPr>
    <w:rPr>
      <w:sz w:val="24"/>
      <w:szCs w:val="24"/>
      <w:lang w:val="it-IT" w:eastAsia="it-IT"/>
    </w:rPr>
  </w:style>
  <w:style w:type="character" w:styleId="Strong">
    <w:name w:val="Strong"/>
    <w:uiPriority w:val="22"/>
    <w:qFormat/>
    <w:rsid w:val="0038207B"/>
    <w:rPr>
      <w:b/>
      <w:bCs/>
    </w:rPr>
  </w:style>
  <w:style w:type="character" w:styleId="UnresolvedMention">
    <w:name w:val="Unresolved Mention"/>
    <w:uiPriority w:val="99"/>
    <w:semiHidden/>
    <w:unhideWhenUsed/>
    <w:rsid w:val="005202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4215">
      <w:bodyDiv w:val="1"/>
      <w:marLeft w:val="0"/>
      <w:marRight w:val="0"/>
      <w:marTop w:val="0"/>
      <w:marBottom w:val="0"/>
      <w:divBdr>
        <w:top w:val="none" w:sz="0" w:space="0" w:color="auto"/>
        <w:left w:val="none" w:sz="0" w:space="0" w:color="auto"/>
        <w:bottom w:val="none" w:sz="0" w:space="0" w:color="auto"/>
        <w:right w:val="none" w:sz="0" w:space="0" w:color="auto"/>
      </w:divBdr>
    </w:div>
    <w:div w:id="53896639">
      <w:bodyDiv w:val="1"/>
      <w:marLeft w:val="0"/>
      <w:marRight w:val="0"/>
      <w:marTop w:val="0"/>
      <w:marBottom w:val="0"/>
      <w:divBdr>
        <w:top w:val="none" w:sz="0" w:space="0" w:color="auto"/>
        <w:left w:val="none" w:sz="0" w:space="0" w:color="auto"/>
        <w:bottom w:val="none" w:sz="0" w:space="0" w:color="auto"/>
        <w:right w:val="none" w:sz="0" w:space="0" w:color="auto"/>
      </w:divBdr>
    </w:div>
    <w:div w:id="54547436">
      <w:bodyDiv w:val="1"/>
      <w:marLeft w:val="0"/>
      <w:marRight w:val="0"/>
      <w:marTop w:val="0"/>
      <w:marBottom w:val="0"/>
      <w:divBdr>
        <w:top w:val="none" w:sz="0" w:space="0" w:color="auto"/>
        <w:left w:val="none" w:sz="0" w:space="0" w:color="auto"/>
        <w:bottom w:val="none" w:sz="0" w:space="0" w:color="auto"/>
        <w:right w:val="none" w:sz="0" w:space="0" w:color="auto"/>
      </w:divBdr>
    </w:div>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18448569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26639621">
      <w:bodyDiv w:val="1"/>
      <w:marLeft w:val="0"/>
      <w:marRight w:val="0"/>
      <w:marTop w:val="0"/>
      <w:marBottom w:val="0"/>
      <w:divBdr>
        <w:top w:val="none" w:sz="0" w:space="0" w:color="auto"/>
        <w:left w:val="none" w:sz="0" w:space="0" w:color="auto"/>
        <w:bottom w:val="none" w:sz="0" w:space="0" w:color="auto"/>
        <w:right w:val="none" w:sz="0" w:space="0" w:color="auto"/>
      </w:divBdr>
    </w:div>
    <w:div w:id="357195928">
      <w:bodyDiv w:val="1"/>
      <w:marLeft w:val="0"/>
      <w:marRight w:val="0"/>
      <w:marTop w:val="0"/>
      <w:marBottom w:val="0"/>
      <w:divBdr>
        <w:top w:val="none" w:sz="0" w:space="0" w:color="auto"/>
        <w:left w:val="none" w:sz="0" w:space="0" w:color="auto"/>
        <w:bottom w:val="none" w:sz="0" w:space="0" w:color="auto"/>
        <w:right w:val="none" w:sz="0" w:space="0" w:color="auto"/>
      </w:divBdr>
    </w:div>
    <w:div w:id="372775839">
      <w:bodyDiv w:val="1"/>
      <w:marLeft w:val="0"/>
      <w:marRight w:val="0"/>
      <w:marTop w:val="0"/>
      <w:marBottom w:val="0"/>
      <w:divBdr>
        <w:top w:val="none" w:sz="0" w:space="0" w:color="auto"/>
        <w:left w:val="none" w:sz="0" w:space="0" w:color="auto"/>
        <w:bottom w:val="none" w:sz="0" w:space="0" w:color="auto"/>
        <w:right w:val="none" w:sz="0" w:space="0" w:color="auto"/>
      </w:divBdr>
    </w:div>
    <w:div w:id="388457444">
      <w:bodyDiv w:val="1"/>
      <w:marLeft w:val="0"/>
      <w:marRight w:val="0"/>
      <w:marTop w:val="0"/>
      <w:marBottom w:val="0"/>
      <w:divBdr>
        <w:top w:val="none" w:sz="0" w:space="0" w:color="auto"/>
        <w:left w:val="none" w:sz="0" w:space="0" w:color="auto"/>
        <w:bottom w:val="none" w:sz="0" w:space="0" w:color="auto"/>
        <w:right w:val="none" w:sz="0" w:space="0" w:color="auto"/>
      </w:divBdr>
    </w:div>
    <w:div w:id="448933788">
      <w:bodyDiv w:val="1"/>
      <w:marLeft w:val="0"/>
      <w:marRight w:val="0"/>
      <w:marTop w:val="0"/>
      <w:marBottom w:val="0"/>
      <w:divBdr>
        <w:top w:val="none" w:sz="0" w:space="0" w:color="auto"/>
        <w:left w:val="none" w:sz="0" w:space="0" w:color="auto"/>
        <w:bottom w:val="none" w:sz="0" w:space="0" w:color="auto"/>
        <w:right w:val="none" w:sz="0" w:space="0" w:color="auto"/>
      </w:divBdr>
    </w:div>
    <w:div w:id="481122701">
      <w:bodyDiv w:val="1"/>
      <w:marLeft w:val="0"/>
      <w:marRight w:val="0"/>
      <w:marTop w:val="0"/>
      <w:marBottom w:val="0"/>
      <w:divBdr>
        <w:top w:val="none" w:sz="0" w:space="0" w:color="auto"/>
        <w:left w:val="none" w:sz="0" w:space="0" w:color="auto"/>
        <w:bottom w:val="none" w:sz="0" w:space="0" w:color="auto"/>
        <w:right w:val="none" w:sz="0" w:space="0" w:color="auto"/>
      </w:divBdr>
    </w:div>
    <w:div w:id="494536396">
      <w:bodyDiv w:val="1"/>
      <w:marLeft w:val="0"/>
      <w:marRight w:val="0"/>
      <w:marTop w:val="0"/>
      <w:marBottom w:val="0"/>
      <w:divBdr>
        <w:top w:val="none" w:sz="0" w:space="0" w:color="auto"/>
        <w:left w:val="none" w:sz="0" w:space="0" w:color="auto"/>
        <w:bottom w:val="none" w:sz="0" w:space="0" w:color="auto"/>
        <w:right w:val="none" w:sz="0" w:space="0" w:color="auto"/>
      </w:divBdr>
    </w:div>
    <w:div w:id="496918659">
      <w:bodyDiv w:val="1"/>
      <w:marLeft w:val="0"/>
      <w:marRight w:val="0"/>
      <w:marTop w:val="0"/>
      <w:marBottom w:val="0"/>
      <w:divBdr>
        <w:top w:val="none" w:sz="0" w:space="0" w:color="auto"/>
        <w:left w:val="none" w:sz="0" w:space="0" w:color="auto"/>
        <w:bottom w:val="none" w:sz="0" w:space="0" w:color="auto"/>
        <w:right w:val="none" w:sz="0" w:space="0" w:color="auto"/>
      </w:divBdr>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648824414">
      <w:bodyDiv w:val="1"/>
      <w:marLeft w:val="0"/>
      <w:marRight w:val="0"/>
      <w:marTop w:val="0"/>
      <w:marBottom w:val="0"/>
      <w:divBdr>
        <w:top w:val="none" w:sz="0" w:space="0" w:color="auto"/>
        <w:left w:val="none" w:sz="0" w:space="0" w:color="auto"/>
        <w:bottom w:val="none" w:sz="0" w:space="0" w:color="auto"/>
        <w:right w:val="none" w:sz="0" w:space="0" w:color="auto"/>
      </w:divBdr>
    </w:div>
    <w:div w:id="754323832">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796677360">
      <w:bodyDiv w:val="1"/>
      <w:marLeft w:val="0"/>
      <w:marRight w:val="0"/>
      <w:marTop w:val="0"/>
      <w:marBottom w:val="0"/>
      <w:divBdr>
        <w:top w:val="none" w:sz="0" w:space="0" w:color="auto"/>
        <w:left w:val="none" w:sz="0" w:space="0" w:color="auto"/>
        <w:bottom w:val="none" w:sz="0" w:space="0" w:color="auto"/>
        <w:right w:val="none" w:sz="0" w:space="0" w:color="auto"/>
      </w:divBdr>
    </w:div>
    <w:div w:id="801192957">
      <w:bodyDiv w:val="1"/>
      <w:marLeft w:val="0"/>
      <w:marRight w:val="0"/>
      <w:marTop w:val="0"/>
      <w:marBottom w:val="0"/>
      <w:divBdr>
        <w:top w:val="none" w:sz="0" w:space="0" w:color="auto"/>
        <w:left w:val="none" w:sz="0" w:space="0" w:color="auto"/>
        <w:bottom w:val="none" w:sz="0" w:space="0" w:color="auto"/>
        <w:right w:val="none" w:sz="0" w:space="0" w:color="auto"/>
      </w:divBdr>
    </w:div>
    <w:div w:id="838228905">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99519185">
      <w:bodyDiv w:val="1"/>
      <w:marLeft w:val="0"/>
      <w:marRight w:val="0"/>
      <w:marTop w:val="0"/>
      <w:marBottom w:val="0"/>
      <w:divBdr>
        <w:top w:val="none" w:sz="0" w:space="0" w:color="auto"/>
        <w:left w:val="none" w:sz="0" w:space="0" w:color="auto"/>
        <w:bottom w:val="none" w:sz="0" w:space="0" w:color="auto"/>
        <w:right w:val="none" w:sz="0" w:space="0" w:color="auto"/>
      </w:divBdr>
    </w:div>
    <w:div w:id="1106850934">
      <w:bodyDiv w:val="1"/>
      <w:marLeft w:val="0"/>
      <w:marRight w:val="0"/>
      <w:marTop w:val="0"/>
      <w:marBottom w:val="0"/>
      <w:divBdr>
        <w:top w:val="none" w:sz="0" w:space="0" w:color="auto"/>
        <w:left w:val="none" w:sz="0" w:space="0" w:color="auto"/>
        <w:bottom w:val="none" w:sz="0" w:space="0" w:color="auto"/>
        <w:right w:val="none" w:sz="0" w:space="0" w:color="auto"/>
      </w:divBdr>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195073038">
      <w:bodyDiv w:val="1"/>
      <w:marLeft w:val="0"/>
      <w:marRight w:val="0"/>
      <w:marTop w:val="0"/>
      <w:marBottom w:val="0"/>
      <w:divBdr>
        <w:top w:val="none" w:sz="0" w:space="0" w:color="auto"/>
        <w:left w:val="none" w:sz="0" w:space="0" w:color="auto"/>
        <w:bottom w:val="none" w:sz="0" w:space="0" w:color="auto"/>
        <w:right w:val="none" w:sz="0" w:space="0" w:color="auto"/>
      </w:divBdr>
    </w:div>
    <w:div w:id="1224103067">
      <w:bodyDiv w:val="1"/>
      <w:marLeft w:val="0"/>
      <w:marRight w:val="0"/>
      <w:marTop w:val="0"/>
      <w:marBottom w:val="0"/>
      <w:divBdr>
        <w:top w:val="none" w:sz="0" w:space="0" w:color="auto"/>
        <w:left w:val="none" w:sz="0" w:space="0" w:color="auto"/>
        <w:bottom w:val="none" w:sz="0" w:space="0" w:color="auto"/>
        <w:right w:val="none" w:sz="0" w:space="0" w:color="auto"/>
      </w:divBdr>
    </w:div>
    <w:div w:id="1296137128">
      <w:bodyDiv w:val="1"/>
      <w:marLeft w:val="0"/>
      <w:marRight w:val="0"/>
      <w:marTop w:val="0"/>
      <w:marBottom w:val="0"/>
      <w:divBdr>
        <w:top w:val="none" w:sz="0" w:space="0" w:color="auto"/>
        <w:left w:val="none" w:sz="0" w:space="0" w:color="auto"/>
        <w:bottom w:val="none" w:sz="0" w:space="0" w:color="auto"/>
        <w:right w:val="none" w:sz="0" w:space="0" w:color="auto"/>
      </w:divBdr>
    </w:div>
    <w:div w:id="1383793669">
      <w:bodyDiv w:val="1"/>
      <w:marLeft w:val="0"/>
      <w:marRight w:val="0"/>
      <w:marTop w:val="0"/>
      <w:marBottom w:val="0"/>
      <w:divBdr>
        <w:top w:val="none" w:sz="0" w:space="0" w:color="auto"/>
        <w:left w:val="none" w:sz="0" w:space="0" w:color="auto"/>
        <w:bottom w:val="none" w:sz="0" w:space="0" w:color="auto"/>
        <w:right w:val="none" w:sz="0" w:space="0" w:color="auto"/>
      </w:divBdr>
    </w:div>
    <w:div w:id="1385518729">
      <w:bodyDiv w:val="1"/>
      <w:marLeft w:val="0"/>
      <w:marRight w:val="0"/>
      <w:marTop w:val="0"/>
      <w:marBottom w:val="0"/>
      <w:divBdr>
        <w:top w:val="none" w:sz="0" w:space="0" w:color="auto"/>
        <w:left w:val="none" w:sz="0" w:space="0" w:color="auto"/>
        <w:bottom w:val="none" w:sz="0" w:space="0" w:color="auto"/>
        <w:right w:val="none" w:sz="0" w:space="0" w:color="auto"/>
      </w:divBdr>
    </w:div>
    <w:div w:id="1403486179">
      <w:bodyDiv w:val="1"/>
      <w:marLeft w:val="0"/>
      <w:marRight w:val="0"/>
      <w:marTop w:val="0"/>
      <w:marBottom w:val="0"/>
      <w:divBdr>
        <w:top w:val="none" w:sz="0" w:space="0" w:color="auto"/>
        <w:left w:val="none" w:sz="0" w:space="0" w:color="auto"/>
        <w:bottom w:val="none" w:sz="0" w:space="0" w:color="auto"/>
        <w:right w:val="none" w:sz="0" w:space="0" w:color="auto"/>
      </w:divBdr>
    </w:div>
    <w:div w:id="1403527083">
      <w:bodyDiv w:val="1"/>
      <w:marLeft w:val="0"/>
      <w:marRight w:val="0"/>
      <w:marTop w:val="0"/>
      <w:marBottom w:val="0"/>
      <w:divBdr>
        <w:top w:val="none" w:sz="0" w:space="0" w:color="auto"/>
        <w:left w:val="none" w:sz="0" w:space="0" w:color="auto"/>
        <w:bottom w:val="none" w:sz="0" w:space="0" w:color="auto"/>
        <w:right w:val="none" w:sz="0" w:space="0" w:color="auto"/>
      </w:divBdr>
    </w:div>
    <w:div w:id="1428188131">
      <w:bodyDiv w:val="1"/>
      <w:marLeft w:val="0"/>
      <w:marRight w:val="0"/>
      <w:marTop w:val="0"/>
      <w:marBottom w:val="0"/>
      <w:divBdr>
        <w:top w:val="none" w:sz="0" w:space="0" w:color="auto"/>
        <w:left w:val="none" w:sz="0" w:space="0" w:color="auto"/>
        <w:bottom w:val="none" w:sz="0" w:space="0" w:color="auto"/>
        <w:right w:val="none" w:sz="0" w:space="0" w:color="auto"/>
      </w:divBdr>
    </w:div>
    <w:div w:id="1428845544">
      <w:bodyDiv w:val="1"/>
      <w:marLeft w:val="0"/>
      <w:marRight w:val="0"/>
      <w:marTop w:val="0"/>
      <w:marBottom w:val="0"/>
      <w:divBdr>
        <w:top w:val="none" w:sz="0" w:space="0" w:color="auto"/>
        <w:left w:val="none" w:sz="0" w:space="0" w:color="auto"/>
        <w:bottom w:val="none" w:sz="0" w:space="0" w:color="auto"/>
        <w:right w:val="none" w:sz="0" w:space="0" w:color="auto"/>
      </w:divBdr>
    </w:div>
    <w:div w:id="1515144361">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3534719">
      <w:bodyDiv w:val="1"/>
      <w:marLeft w:val="0"/>
      <w:marRight w:val="0"/>
      <w:marTop w:val="0"/>
      <w:marBottom w:val="0"/>
      <w:divBdr>
        <w:top w:val="none" w:sz="0" w:space="0" w:color="auto"/>
        <w:left w:val="none" w:sz="0" w:space="0" w:color="auto"/>
        <w:bottom w:val="none" w:sz="0" w:space="0" w:color="auto"/>
        <w:right w:val="none" w:sz="0" w:space="0" w:color="auto"/>
      </w:divBdr>
    </w:div>
    <w:div w:id="1716199089">
      <w:bodyDiv w:val="1"/>
      <w:marLeft w:val="0"/>
      <w:marRight w:val="0"/>
      <w:marTop w:val="0"/>
      <w:marBottom w:val="0"/>
      <w:divBdr>
        <w:top w:val="none" w:sz="0" w:space="0" w:color="auto"/>
        <w:left w:val="none" w:sz="0" w:space="0" w:color="auto"/>
        <w:bottom w:val="none" w:sz="0" w:space="0" w:color="auto"/>
        <w:right w:val="none" w:sz="0" w:space="0" w:color="auto"/>
      </w:divBdr>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811046191">
      <w:bodyDiv w:val="1"/>
      <w:marLeft w:val="0"/>
      <w:marRight w:val="0"/>
      <w:marTop w:val="0"/>
      <w:marBottom w:val="0"/>
      <w:divBdr>
        <w:top w:val="none" w:sz="0" w:space="0" w:color="auto"/>
        <w:left w:val="none" w:sz="0" w:space="0" w:color="auto"/>
        <w:bottom w:val="none" w:sz="0" w:space="0" w:color="auto"/>
        <w:right w:val="none" w:sz="0" w:space="0" w:color="auto"/>
      </w:divBdr>
    </w:div>
    <w:div w:id="2018195303">
      <w:bodyDiv w:val="1"/>
      <w:marLeft w:val="0"/>
      <w:marRight w:val="0"/>
      <w:marTop w:val="0"/>
      <w:marBottom w:val="0"/>
      <w:divBdr>
        <w:top w:val="none" w:sz="0" w:space="0" w:color="auto"/>
        <w:left w:val="none" w:sz="0" w:space="0" w:color="auto"/>
        <w:bottom w:val="none" w:sz="0" w:space="0" w:color="auto"/>
        <w:right w:val="none" w:sz="0" w:space="0" w:color="auto"/>
      </w:divBdr>
    </w:div>
    <w:div w:id="2044406116">
      <w:bodyDiv w:val="1"/>
      <w:marLeft w:val="0"/>
      <w:marRight w:val="0"/>
      <w:marTop w:val="0"/>
      <w:marBottom w:val="0"/>
      <w:divBdr>
        <w:top w:val="none" w:sz="0" w:space="0" w:color="auto"/>
        <w:left w:val="none" w:sz="0" w:space="0" w:color="auto"/>
        <w:bottom w:val="none" w:sz="0" w:space="0" w:color="auto"/>
        <w:right w:val="none" w:sz="0" w:space="0" w:color="auto"/>
      </w:divBdr>
      <w:divsChild>
        <w:div w:id="612203445">
          <w:marLeft w:val="1166"/>
          <w:marRight w:val="0"/>
          <w:marTop w:val="60"/>
          <w:marBottom w:val="60"/>
          <w:divBdr>
            <w:top w:val="none" w:sz="0" w:space="0" w:color="auto"/>
            <w:left w:val="none" w:sz="0" w:space="0" w:color="auto"/>
            <w:bottom w:val="none" w:sz="0" w:space="0" w:color="auto"/>
            <w:right w:val="none" w:sz="0" w:space="0" w:color="auto"/>
          </w:divBdr>
        </w:div>
      </w:divsChild>
    </w:div>
    <w:div w:id="208676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ns-origami.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0d4e6f7-2098-4211-81db-5612d3076bf7}" enabled="1" method="Standard" siteId="{6815f468-021c-48f2-a6b2-d65c8e979dfb}" removed="0"/>
  <clbl:label id="{08f6f869-1ed0-46b3-a227-1d3e52347e28}" enabled="1" method="Standard" siteId="{98e9ba89-e1a1-4e38-9007-8bdabc25de1d}" removed="0"/>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 TDoc</Template>
  <TotalTime>20</TotalTime>
  <Pages>5</Pages>
  <Words>2084</Words>
  <Characters>12650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14705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Fodrini Maurizio</cp:lastModifiedBy>
  <cp:revision>33</cp:revision>
  <dcterms:created xsi:type="dcterms:W3CDTF">2025-10-01T09:20:00Z</dcterms:created>
  <dcterms:modified xsi:type="dcterms:W3CDTF">2025-10-02T13:52:00Z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58a8c39e</vt:lpwstr>
  </property>
  <property fmtid="{D5CDD505-2E9C-101B-9397-08002B2CF9AE}" pid="3" name="ClassificationContentMarkingFooterFontProps">
    <vt:lpwstr>#0000ff,10,Calibri</vt:lpwstr>
  </property>
  <property fmtid="{D5CDD505-2E9C-101B-9397-08002B2CF9AE}" pid="4" name="ClassificationContentMarkingFooterText">
    <vt:lpwstr>Fibercop - Confidential</vt:lpwstr>
  </property>
</Properties>
</file>